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1C9F" w:rsidRPr="00531C9F" w:rsidRDefault="00531C9F" w:rsidP="00531C9F">
      <w:pPr>
        <w:shd w:val="clear" w:color="auto" w:fill="FFFFFF"/>
        <w:spacing w:after="0" w:line="240" w:lineRule="auto"/>
        <w:textAlignment w:val="baseline"/>
        <w:outlineLvl w:val="4"/>
        <w:rPr>
          <w:rFonts w:ascii="Helvetica" w:eastAsia="Times New Roman" w:hAnsi="Helvetica" w:cs="Helvetica"/>
          <w:b/>
          <w:bCs/>
          <w:color w:val="D23232"/>
          <w:sz w:val="30"/>
          <w:szCs w:val="30"/>
        </w:rPr>
      </w:pPr>
      <w:r w:rsidRPr="00531C9F">
        <w:rPr>
          <w:rFonts w:ascii="inherit" w:eastAsia="Times New Roman" w:hAnsi="inherit" w:cs="Helvetica"/>
          <w:b/>
          <w:bCs/>
          <w:color w:val="D23232"/>
          <w:sz w:val="30"/>
          <w:szCs w:val="30"/>
          <w:bdr w:val="none" w:sz="0" w:space="0" w:color="auto" w:frame="1"/>
        </w:rPr>
        <w:t>Пореске категорије S10 и S20 и класификација промета</w:t>
      </w:r>
    </w:p>
    <w:p w:rsidR="00531C9F" w:rsidRPr="00531C9F" w:rsidRDefault="00531C9F" w:rsidP="00531C9F">
      <w:pPr>
        <w:shd w:val="clear" w:color="auto" w:fill="FFFFFF"/>
        <w:spacing w:after="0" w:line="240" w:lineRule="auto"/>
        <w:textAlignment w:val="baseline"/>
        <w:rPr>
          <w:rFonts w:ascii="Helvetica" w:eastAsia="Times New Roman" w:hAnsi="Helvetica" w:cs="Helvetica"/>
          <w:color w:val="333333"/>
          <w:sz w:val="27"/>
          <w:szCs w:val="27"/>
        </w:rPr>
      </w:pPr>
      <w:r w:rsidRPr="00531C9F">
        <w:rPr>
          <w:rFonts w:ascii="Helvetica" w:eastAsia="Times New Roman" w:hAnsi="Helvetica" w:cs="Helvetica"/>
          <w:color w:val="333333"/>
          <w:sz w:val="27"/>
          <w:szCs w:val="27"/>
        </w:rPr>
        <w:t>Уместо пореске категорије S са пореском стопом од 10%, односно 20% уводе се две пореске категорије – </w:t>
      </w:r>
      <w:r w:rsidRPr="00531C9F">
        <w:rPr>
          <w:rFonts w:ascii="inherit" w:eastAsia="Times New Roman" w:hAnsi="inherit" w:cs="Helvetica"/>
          <w:b/>
          <w:bCs/>
          <w:color w:val="333333"/>
          <w:sz w:val="27"/>
          <w:szCs w:val="27"/>
          <w:bdr w:val="none" w:sz="0" w:space="0" w:color="auto" w:frame="1"/>
        </w:rPr>
        <w:t>S10 са пореском стопом од 10%</w:t>
      </w:r>
      <w:r w:rsidRPr="00531C9F">
        <w:rPr>
          <w:rFonts w:ascii="Helvetica" w:eastAsia="Times New Roman" w:hAnsi="Helvetica" w:cs="Helvetica"/>
          <w:color w:val="333333"/>
          <w:sz w:val="27"/>
          <w:szCs w:val="27"/>
        </w:rPr>
        <w:t>, и </w:t>
      </w:r>
      <w:r w:rsidRPr="00531C9F">
        <w:rPr>
          <w:rFonts w:ascii="inherit" w:eastAsia="Times New Roman" w:hAnsi="inherit" w:cs="Helvetica"/>
          <w:b/>
          <w:bCs/>
          <w:color w:val="333333"/>
          <w:sz w:val="27"/>
          <w:szCs w:val="27"/>
          <w:bdr w:val="none" w:sz="0" w:space="0" w:color="auto" w:frame="1"/>
        </w:rPr>
        <w:t>S20 са пореском стопом од 20%</w:t>
      </w:r>
      <w:r w:rsidRPr="00531C9F">
        <w:rPr>
          <w:rFonts w:ascii="Helvetica" w:eastAsia="Times New Roman" w:hAnsi="Helvetica" w:cs="Helvetica"/>
          <w:color w:val="333333"/>
          <w:sz w:val="27"/>
          <w:szCs w:val="27"/>
        </w:rPr>
        <w:t>.</w:t>
      </w:r>
    </w:p>
    <w:p w:rsidR="00531C9F" w:rsidRPr="00531C9F" w:rsidRDefault="00531C9F" w:rsidP="00531C9F">
      <w:pPr>
        <w:shd w:val="clear" w:color="auto" w:fill="FFFFFF"/>
        <w:spacing w:after="450" w:line="240" w:lineRule="auto"/>
        <w:textAlignment w:val="baseline"/>
        <w:rPr>
          <w:rFonts w:ascii="Helvetica" w:eastAsia="Times New Roman" w:hAnsi="Helvetica" w:cs="Helvetica"/>
          <w:color w:val="333333"/>
          <w:sz w:val="27"/>
          <w:szCs w:val="27"/>
        </w:rPr>
      </w:pPr>
      <w:r w:rsidRPr="00531C9F">
        <w:rPr>
          <w:rFonts w:ascii="Helvetica" w:eastAsia="Times New Roman" w:hAnsi="Helvetica" w:cs="Helvetica"/>
          <w:color w:val="333333"/>
          <w:sz w:val="27"/>
          <w:szCs w:val="27"/>
        </w:rPr>
        <w:t>На корисничком интерфејсу приликом одабира пореске категорије корисник може да одабере пореску категорију S10, односно S20, при чему се одговарајућа вредност пореске стопе аутоматски уписује. За API кориснике начин уноса пореских категорија S10, односно S20 остаје непромењен – уноси се пореска категорија S и одговарајућа пореска стопа 10% или 20%.</w:t>
      </w:r>
    </w:p>
    <w:p w:rsidR="00531C9F" w:rsidRPr="00531C9F" w:rsidRDefault="00531C9F" w:rsidP="00531C9F">
      <w:pPr>
        <w:shd w:val="clear" w:color="auto" w:fill="FFFFFF"/>
        <w:spacing w:after="0" w:line="240" w:lineRule="auto"/>
        <w:textAlignment w:val="baseline"/>
        <w:rPr>
          <w:rFonts w:ascii="Helvetica" w:eastAsia="Times New Roman" w:hAnsi="Helvetica" w:cs="Helvetica"/>
          <w:color w:val="333333"/>
          <w:sz w:val="27"/>
          <w:szCs w:val="27"/>
        </w:rPr>
      </w:pPr>
      <w:r w:rsidRPr="00531C9F">
        <w:rPr>
          <w:rFonts w:ascii="Helvetica" w:eastAsia="Times New Roman" w:hAnsi="Helvetica" w:cs="Helvetica"/>
          <w:color w:val="333333"/>
          <w:sz w:val="27"/>
          <w:szCs w:val="27"/>
        </w:rPr>
        <w:t>Због потребе раздвајања промета првог преноса права располагања на новоизграђеним грађевинским објектима, економски дељивим целинама у оквиру тих објеката и власничким уделима на тим добрима, уводи се посебна шифра </w:t>
      </w:r>
      <w:r w:rsidRPr="00531C9F">
        <w:rPr>
          <w:rFonts w:ascii="inherit" w:eastAsia="Times New Roman" w:hAnsi="inherit" w:cs="Helvetica"/>
          <w:b/>
          <w:bCs/>
          <w:color w:val="333333"/>
          <w:sz w:val="27"/>
          <w:szCs w:val="27"/>
          <w:bdr w:val="none" w:sz="0" w:space="0" w:color="auto" w:frame="1"/>
        </w:rPr>
        <w:t>на нивоу ставке</w:t>
      </w:r>
      <w:r w:rsidRPr="00531C9F">
        <w:rPr>
          <w:rFonts w:ascii="Helvetica" w:eastAsia="Times New Roman" w:hAnsi="Helvetica" w:cs="Helvetica"/>
          <w:color w:val="333333"/>
          <w:sz w:val="27"/>
          <w:szCs w:val="27"/>
        </w:rPr>
        <w:t> – PDV-RS-OBJ. За остали промет, а за који испоручилац добара или пружалац услуга има обавезу обрачунавања ПДВ по општој стопи ПДВ од 20%, односно по посебној стопи ПДВ од 10% не уноси се шифра.</w:t>
      </w:r>
    </w:p>
    <w:p w:rsidR="00531C9F" w:rsidRPr="00531C9F" w:rsidRDefault="00531C9F" w:rsidP="00531C9F">
      <w:pPr>
        <w:shd w:val="clear" w:color="auto" w:fill="FFFFFF"/>
        <w:spacing w:after="0" w:line="240" w:lineRule="auto"/>
        <w:textAlignment w:val="baseline"/>
        <w:rPr>
          <w:rFonts w:ascii="Helvetica" w:eastAsia="Times New Roman" w:hAnsi="Helvetica" w:cs="Helvetica"/>
          <w:color w:val="333333"/>
          <w:sz w:val="27"/>
          <w:szCs w:val="27"/>
        </w:rPr>
      </w:pPr>
      <w:r w:rsidRPr="00531C9F">
        <w:rPr>
          <w:rFonts w:ascii="inherit" w:eastAsia="Times New Roman" w:hAnsi="inherit" w:cs="Helvetica"/>
          <w:i/>
          <w:iCs/>
          <w:color w:val="333333"/>
          <w:sz w:val="27"/>
          <w:szCs w:val="27"/>
          <w:bdr w:val="none" w:sz="0" w:space="0" w:color="auto" w:frame="1"/>
        </w:rPr>
        <w:t>Шифра за први пренос права располагања на новоизграђеним грађевинским објектима, за пореске категорије S10 и S20</w:t>
      </w:r>
    </w:p>
    <w:tbl>
      <w:tblPr>
        <w:tblW w:w="10083" w:type="dxa"/>
        <w:tblCellSpacing w:w="15" w:type="dxa"/>
        <w:tblBorders>
          <w:top w:val="single" w:sz="6" w:space="0" w:color="DDDDDD"/>
          <w:left w:val="single" w:sz="6" w:space="0" w:color="DDDDDD"/>
          <w:right w:val="single" w:sz="6" w:space="0" w:color="DDDDDD"/>
        </w:tblBorders>
        <w:tblCellMar>
          <w:top w:w="15" w:type="dxa"/>
          <w:left w:w="15" w:type="dxa"/>
          <w:bottom w:w="15" w:type="dxa"/>
          <w:right w:w="15" w:type="dxa"/>
        </w:tblCellMar>
        <w:tblLook w:val="04A0" w:firstRow="1" w:lastRow="0" w:firstColumn="1" w:lastColumn="0" w:noHBand="0" w:noVBand="1"/>
      </w:tblPr>
      <w:tblGrid>
        <w:gridCol w:w="1230"/>
        <w:gridCol w:w="30"/>
        <w:gridCol w:w="8823"/>
      </w:tblGrid>
      <w:tr w:rsidR="00531C9F" w:rsidRPr="00531C9F" w:rsidTr="00531C9F">
        <w:trPr>
          <w:tblHeader/>
          <w:tblCellSpacing w:w="15" w:type="dxa"/>
        </w:trPr>
        <w:tc>
          <w:tcPr>
            <w:tcW w:w="1961" w:type="dxa"/>
            <w:gridSpan w:val="2"/>
            <w:tcBorders>
              <w:top w:val="single" w:sz="6" w:space="0" w:color="DDDDDD"/>
              <w:left w:val="nil"/>
              <w:bottom w:val="single" w:sz="6"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24"/>
                <w:szCs w:val="24"/>
              </w:rPr>
            </w:pPr>
          </w:p>
        </w:tc>
        <w:tc>
          <w:tcPr>
            <w:tcW w:w="8062" w:type="dxa"/>
            <w:tcBorders>
              <w:top w:val="single" w:sz="6" w:space="0" w:color="DDDDDD"/>
              <w:left w:val="nil"/>
              <w:bottom w:val="single" w:sz="6"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24"/>
                <w:szCs w:val="24"/>
              </w:rPr>
            </w:pPr>
          </w:p>
        </w:tc>
      </w:tr>
      <w:tr w:rsidR="00531C9F" w:rsidRPr="00531C9F" w:rsidTr="00531C9F">
        <w:trPr>
          <w:tblHeader/>
          <w:tblCellSpacing w:w="15" w:type="dxa"/>
        </w:trPr>
        <w:tc>
          <w:tcPr>
            <w:tcW w:w="1961" w:type="dxa"/>
            <w:tcBorders>
              <w:top w:val="single" w:sz="2" w:space="0" w:color="DDDDDD"/>
              <w:left w:val="nil"/>
              <w:bottom w:val="single" w:sz="2"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1"/>
              </w:rPr>
            </w:pPr>
          </w:p>
        </w:tc>
        <w:tc>
          <w:tcPr>
            <w:tcW w:w="8062" w:type="dxa"/>
            <w:gridSpan w:val="2"/>
            <w:tcBorders>
              <w:top w:val="single" w:sz="2" w:space="0" w:color="DDDDDD"/>
              <w:left w:val="nil"/>
              <w:bottom w:val="single" w:sz="2"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1"/>
              </w:rPr>
            </w:pPr>
          </w:p>
        </w:tc>
      </w:tr>
      <w:tr w:rsidR="00531C9F" w:rsidRPr="00531C9F" w:rsidTr="00531C9F">
        <w:trPr>
          <w:tblCellSpacing w:w="15" w:type="dxa"/>
        </w:trPr>
        <w:tc>
          <w:tcPr>
            <w:tcW w:w="1751" w:type="dxa"/>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S10</w:t>
            </w:r>
          </w:p>
        </w:tc>
        <w:tc>
          <w:tcPr>
            <w:tcW w:w="8287" w:type="dxa"/>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rPr>
                <w:rFonts w:ascii="inherit" w:eastAsia="Times New Roman" w:hAnsi="inherit" w:cs="Times New Roman"/>
              </w:rPr>
            </w:pPr>
            <w:r w:rsidRPr="00531C9F">
              <w:rPr>
                <w:rFonts w:ascii="inherit" w:eastAsia="Times New Roman" w:hAnsi="inherit" w:cs="Times New Roman"/>
              </w:rPr>
              <w:t>Промет по стопи од 10%</w:t>
            </w:r>
          </w:p>
        </w:tc>
      </w:tr>
      <w:tr w:rsidR="00531C9F" w:rsidRPr="00531C9F" w:rsidTr="00531C9F">
        <w:trPr>
          <w:tblCellSpacing w:w="15" w:type="dxa"/>
        </w:trPr>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PDV-RS-OBJ</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rPr>
                <w:rFonts w:ascii="inherit" w:eastAsia="Times New Roman" w:hAnsi="inherit" w:cs="Times New Roman"/>
              </w:rPr>
            </w:pPr>
            <w:r w:rsidRPr="00531C9F">
              <w:rPr>
                <w:rFonts w:ascii="inherit" w:eastAsia="Times New Roman" w:hAnsi="inherit" w:cs="Times New Roman"/>
              </w:rPr>
              <w:t>Први пренос права располагања на новоизграђеним објектима, економски дељивим целинама у оквиру тих објеката, као и власничким уделима на новоизграђеним грађевинским објектима или економски дељивим целинама у оквиру тих објеката</w:t>
            </w:r>
          </w:p>
        </w:tc>
      </w:tr>
      <w:tr w:rsidR="00531C9F" w:rsidRPr="00531C9F" w:rsidTr="00531C9F">
        <w:trPr>
          <w:tblCellSpacing w:w="15" w:type="dxa"/>
        </w:trPr>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S20</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rPr>
                <w:rFonts w:ascii="inherit" w:eastAsia="Times New Roman" w:hAnsi="inherit" w:cs="Times New Roman"/>
              </w:rPr>
            </w:pPr>
            <w:r w:rsidRPr="00531C9F">
              <w:rPr>
                <w:rFonts w:ascii="inherit" w:eastAsia="Times New Roman" w:hAnsi="inherit" w:cs="Times New Roman"/>
              </w:rPr>
              <w:t>Промет по стопи од 20%</w:t>
            </w:r>
          </w:p>
        </w:tc>
      </w:tr>
      <w:tr w:rsidR="00531C9F" w:rsidRPr="00531C9F" w:rsidTr="00531C9F">
        <w:trPr>
          <w:tblCellSpacing w:w="15" w:type="dxa"/>
        </w:trPr>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PDV-RS-OBJ</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rPr>
                <w:rFonts w:ascii="inherit" w:eastAsia="Times New Roman" w:hAnsi="inherit" w:cs="Times New Roman"/>
              </w:rPr>
            </w:pPr>
            <w:r w:rsidRPr="00531C9F">
              <w:rPr>
                <w:rFonts w:ascii="inherit" w:eastAsia="Times New Roman" w:hAnsi="inherit" w:cs="Times New Roman"/>
              </w:rPr>
              <w:t>Први пренос права располагања на новоизграђеним објектима, економски дељивим целинама у оквиру тих објеката, као и власничким уделима на новоизграђеним грађевинским објектима или економски дељивим целинама у оквиру тих објеката</w:t>
            </w:r>
          </w:p>
        </w:tc>
      </w:tr>
    </w:tbl>
    <w:p w:rsidR="00531C9F" w:rsidRPr="00531C9F" w:rsidRDefault="00531C9F" w:rsidP="00531C9F">
      <w:pPr>
        <w:shd w:val="clear" w:color="auto" w:fill="FFFFFF"/>
        <w:spacing w:after="450" w:line="240" w:lineRule="auto"/>
        <w:textAlignment w:val="baseline"/>
        <w:rPr>
          <w:rFonts w:ascii="Helvetica" w:eastAsia="Times New Roman" w:hAnsi="Helvetica" w:cs="Helvetica"/>
          <w:color w:val="333333"/>
          <w:sz w:val="27"/>
          <w:szCs w:val="27"/>
        </w:rPr>
      </w:pPr>
      <w:r w:rsidRPr="00531C9F">
        <w:rPr>
          <w:rFonts w:ascii="Helvetica" w:eastAsia="Times New Roman" w:hAnsi="Helvetica" w:cs="Helvetica"/>
          <w:color w:val="333333"/>
          <w:sz w:val="27"/>
          <w:szCs w:val="27"/>
        </w:rPr>
        <w:t>За пореске категорије S10 и S20, класификација промета преко корисничког интерфејса се уводи на нивоу ставке, уносом шифре PDV-RS-OBJ у одговарајуће поље само ако се односи на први пренос права располагања на новоизграђеним објектима, економски дељивим целинама у оквиру тих објеката, као и власничким уделима на новоизграђеним грађевинским објектима или економски дељивим целинама у оквиру тих објеката. У супротном, поље остаје празно.</w:t>
      </w:r>
    </w:p>
    <w:p w:rsidR="00531C9F" w:rsidRPr="00531C9F" w:rsidRDefault="00531C9F" w:rsidP="00531C9F">
      <w:pPr>
        <w:shd w:val="clear" w:color="auto" w:fill="FFFFFF"/>
        <w:spacing w:after="0" w:line="240" w:lineRule="auto"/>
        <w:textAlignment w:val="baseline"/>
        <w:outlineLvl w:val="4"/>
        <w:rPr>
          <w:rFonts w:ascii="Helvetica" w:eastAsia="Times New Roman" w:hAnsi="Helvetica" w:cs="Helvetica"/>
          <w:b/>
          <w:bCs/>
          <w:color w:val="D23232"/>
          <w:sz w:val="30"/>
          <w:szCs w:val="30"/>
        </w:rPr>
      </w:pPr>
      <w:r w:rsidRPr="00531C9F">
        <w:rPr>
          <w:rFonts w:ascii="inherit" w:eastAsia="Times New Roman" w:hAnsi="inherit" w:cs="Helvetica"/>
          <w:b/>
          <w:bCs/>
          <w:color w:val="D23232"/>
          <w:sz w:val="30"/>
          <w:szCs w:val="30"/>
          <w:bdr w:val="none" w:sz="0" w:space="0" w:color="auto" w:frame="1"/>
        </w:rPr>
        <w:t>2.2. Пореске категорије АЕ10 и АЕ20 и шифре за њихову примену</w:t>
      </w:r>
    </w:p>
    <w:p w:rsidR="00531C9F" w:rsidRPr="00531C9F" w:rsidRDefault="00531C9F" w:rsidP="00531C9F">
      <w:pPr>
        <w:shd w:val="clear" w:color="auto" w:fill="FFFFFF"/>
        <w:spacing w:after="450" w:line="240" w:lineRule="auto"/>
        <w:textAlignment w:val="baseline"/>
        <w:rPr>
          <w:rFonts w:ascii="Helvetica" w:eastAsia="Times New Roman" w:hAnsi="Helvetica" w:cs="Helvetica"/>
          <w:color w:val="333333"/>
          <w:sz w:val="27"/>
          <w:szCs w:val="27"/>
        </w:rPr>
      </w:pPr>
      <w:r w:rsidRPr="00531C9F">
        <w:rPr>
          <w:rFonts w:ascii="Helvetica" w:eastAsia="Times New Roman" w:hAnsi="Helvetica" w:cs="Helvetica"/>
          <w:color w:val="333333"/>
          <w:sz w:val="27"/>
          <w:szCs w:val="27"/>
        </w:rPr>
        <w:lastRenderedPageBreak/>
        <w:t>Уместо пореске категорије АЕ уводе се две пореске категорије – АЕ10 и АЕ20. На корисничком интерфејсу, могуће је одабрати пореске категорије АЕ10, односно АЕ20. Неопходно је додати и шифру за њихову примену.</w:t>
      </w:r>
    </w:p>
    <w:p w:rsidR="00531C9F" w:rsidRPr="00531C9F" w:rsidRDefault="00531C9F" w:rsidP="00531C9F">
      <w:pPr>
        <w:shd w:val="clear" w:color="auto" w:fill="FFFFFF"/>
        <w:spacing w:after="0" w:line="240" w:lineRule="auto"/>
        <w:textAlignment w:val="baseline"/>
        <w:rPr>
          <w:rFonts w:ascii="Helvetica" w:eastAsia="Times New Roman" w:hAnsi="Helvetica" w:cs="Helvetica"/>
          <w:color w:val="333333"/>
          <w:sz w:val="27"/>
          <w:szCs w:val="27"/>
        </w:rPr>
      </w:pPr>
      <w:r w:rsidRPr="00531C9F">
        <w:rPr>
          <w:rFonts w:ascii="inherit" w:eastAsia="Times New Roman" w:hAnsi="inherit" w:cs="Helvetica"/>
          <w:i/>
          <w:iCs/>
          <w:color w:val="333333"/>
          <w:sz w:val="27"/>
          <w:szCs w:val="27"/>
          <w:bdr w:val="none" w:sz="0" w:space="0" w:color="auto" w:frame="1"/>
        </w:rPr>
        <w:t>Шифре за примену пореске категорије АЕ10</w:t>
      </w:r>
    </w:p>
    <w:tbl>
      <w:tblPr>
        <w:tblW w:w="10083" w:type="dxa"/>
        <w:tblCellSpacing w:w="15" w:type="dxa"/>
        <w:tblBorders>
          <w:top w:val="single" w:sz="6" w:space="0" w:color="DDDDDD"/>
          <w:left w:val="single" w:sz="6" w:space="0" w:color="DDDDDD"/>
          <w:right w:val="single" w:sz="6" w:space="0" w:color="DDDDDD"/>
        </w:tblBorders>
        <w:tblCellMar>
          <w:top w:w="15" w:type="dxa"/>
          <w:left w:w="15" w:type="dxa"/>
          <w:bottom w:w="15" w:type="dxa"/>
          <w:right w:w="15" w:type="dxa"/>
        </w:tblCellMar>
        <w:tblLook w:val="04A0" w:firstRow="1" w:lastRow="0" w:firstColumn="1" w:lastColumn="0" w:noHBand="0" w:noVBand="1"/>
      </w:tblPr>
      <w:tblGrid>
        <w:gridCol w:w="1228"/>
        <w:gridCol w:w="30"/>
        <w:gridCol w:w="8825"/>
      </w:tblGrid>
      <w:tr w:rsidR="00531C9F" w:rsidRPr="00531C9F" w:rsidTr="00531C9F">
        <w:trPr>
          <w:tblHeader/>
          <w:tblCellSpacing w:w="15" w:type="dxa"/>
        </w:trPr>
        <w:tc>
          <w:tcPr>
            <w:tcW w:w="1962" w:type="dxa"/>
            <w:gridSpan w:val="2"/>
            <w:tcBorders>
              <w:top w:val="single" w:sz="6" w:space="0" w:color="DDDDDD"/>
              <w:left w:val="nil"/>
              <w:bottom w:val="single" w:sz="6"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24"/>
                <w:szCs w:val="24"/>
              </w:rPr>
            </w:pPr>
          </w:p>
        </w:tc>
        <w:tc>
          <w:tcPr>
            <w:tcW w:w="8061" w:type="dxa"/>
            <w:tcBorders>
              <w:top w:val="single" w:sz="6" w:space="0" w:color="DDDDDD"/>
              <w:left w:val="nil"/>
              <w:bottom w:val="single" w:sz="6"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24"/>
                <w:szCs w:val="24"/>
              </w:rPr>
            </w:pPr>
          </w:p>
        </w:tc>
      </w:tr>
      <w:tr w:rsidR="00531C9F" w:rsidRPr="00531C9F" w:rsidTr="00531C9F">
        <w:trPr>
          <w:tblHeader/>
          <w:tblCellSpacing w:w="15" w:type="dxa"/>
        </w:trPr>
        <w:tc>
          <w:tcPr>
            <w:tcW w:w="1962" w:type="dxa"/>
            <w:tcBorders>
              <w:top w:val="single" w:sz="2" w:space="0" w:color="DDDDDD"/>
              <w:left w:val="nil"/>
              <w:bottom w:val="single" w:sz="2"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1"/>
              </w:rPr>
            </w:pPr>
          </w:p>
        </w:tc>
        <w:tc>
          <w:tcPr>
            <w:tcW w:w="8061" w:type="dxa"/>
            <w:gridSpan w:val="2"/>
            <w:tcBorders>
              <w:top w:val="single" w:sz="2" w:space="0" w:color="DDDDDD"/>
              <w:left w:val="nil"/>
              <w:bottom w:val="single" w:sz="2"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1"/>
              </w:rPr>
            </w:pPr>
          </w:p>
        </w:tc>
      </w:tr>
      <w:tr w:rsidR="00531C9F" w:rsidRPr="00531C9F" w:rsidTr="00531C9F">
        <w:trPr>
          <w:tblCellSpacing w:w="15" w:type="dxa"/>
        </w:trPr>
        <w:tc>
          <w:tcPr>
            <w:tcW w:w="1751" w:type="dxa"/>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rPr>
                <w:rFonts w:ascii="inherit" w:eastAsia="Times New Roman" w:hAnsi="inherit" w:cs="Times New Roman"/>
              </w:rPr>
            </w:pPr>
            <w:r w:rsidRPr="00531C9F">
              <w:rPr>
                <w:rFonts w:ascii="inherit" w:eastAsia="Times New Roman" w:hAnsi="inherit" w:cs="Times New Roman"/>
              </w:rPr>
              <w:t>AE10</w:t>
            </w:r>
          </w:p>
        </w:tc>
        <w:tc>
          <w:tcPr>
            <w:tcW w:w="8287" w:type="dxa"/>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rPr>
                <w:rFonts w:ascii="inherit" w:eastAsia="Times New Roman" w:hAnsi="inherit" w:cs="Times New Roman"/>
              </w:rPr>
            </w:pPr>
            <w:r w:rsidRPr="00531C9F">
              <w:rPr>
                <w:rFonts w:ascii="inherit" w:eastAsia="Times New Roman" w:hAnsi="inherit" w:cs="Times New Roman"/>
              </w:rPr>
              <w:t>Промет по пореској стопи од 10% за који је порески дужник прималац</w:t>
            </w:r>
          </w:p>
        </w:tc>
      </w:tr>
      <w:tr w:rsidR="00531C9F" w:rsidRPr="00531C9F" w:rsidTr="00531C9F">
        <w:trPr>
          <w:tblCellSpacing w:w="15" w:type="dxa"/>
        </w:trPr>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rPr>
                <w:rFonts w:ascii="inherit" w:eastAsia="Times New Roman" w:hAnsi="inherit" w:cs="Times New Roman"/>
              </w:rPr>
            </w:pPr>
            <w:r w:rsidRPr="00531C9F">
              <w:rPr>
                <w:rFonts w:ascii="inherit" w:eastAsia="Times New Roman" w:hAnsi="inherit" w:cs="Times New Roman"/>
              </w:rPr>
              <w:t>PDV-RS-10-2-1</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rPr>
                <w:rFonts w:ascii="inherit" w:eastAsia="Times New Roman" w:hAnsi="inherit" w:cs="Times New Roman"/>
              </w:rPr>
            </w:pPr>
            <w:r w:rsidRPr="00531C9F">
              <w:rPr>
                <w:rFonts w:ascii="inherit" w:eastAsia="Times New Roman" w:hAnsi="inherit" w:cs="Times New Roman"/>
              </w:rPr>
              <w:t>Промет секундарних сировина и услуга које су непосредно повезане са тим добрима, извршен од стране обвезника ПДВ, за који је порески дужник прималац, обвезник ПДВ</w:t>
            </w:r>
          </w:p>
        </w:tc>
      </w:tr>
      <w:tr w:rsidR="00531C9F" w:rsidRPr="00531C9F" w:rsidTr="00531C9F">
        <w:trPr>
          <w:tblCellSpacing w:w="15" w:type="dxa"/>
        </w:trPr>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rPr>
                <w:rFonts w:ascii="inherit" w:eastAsia="Times New Roman" w:hAnsi="inherit" w:cs="Times New Roman"/>
              </w:rPr>
            </w:pPr>
            <w:r w:rsidRPr="00531C9F">
              <w:rPr>
                <w:rFonts w:ascii="inherit" w:eastAsia="Times New Roman" w:hAnsi="inherit" w:cs="Times New Roman"/>
              </w:rPr>
              <w:t>PDV-RS-10-2-2</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rPr>
                <w:rFonts w:ascii="inherit" w:eastAsia="Times New Roman" w:hAnsi="inherit" w:cs="Times New Roman"/>
              </w:rPr>
            </w:pPr>
            <w:r w:rsidRPr="00531C9F">
              <w:rPr>
                <w:rFonts w:ascii="inherit" w:eastAsia="Times New Roman" w:hAnsi="inherit" w:cs="Times New Roman"/>
              </w:rPr>
              <w:t>Промет грађевинских објеката и економски дељивих целина у оквиру тих објеката, укључујући и власничке уделе на тим добрима, извршен од стране обвезника ПДВ другом обвезнику ПДВ, у случају када је уговором на основу којег се врши промет тих добара предвиђено да ће се на тај промет обрачунати ПДВ у складу са ЗПДВ, за који је порески дужник прималац</w:t>
            </w:r>
          </w:p>
        </w:tc>
      </w:tr>
      <w:tr w:rsidR="00531C9F" w:rsidRPr="00531C9F" w:rsidTr="00531C9F">
        <w:trPr>
          <w:tblCellSpacing w:w="15" w:type="dxa"/>
        </w:trPr>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rPr>
                <w:rFonts w:ascii="inherit" w:eastAsia="Times New Roman" w:hAnsi="inherit" w:cs="Times New Roman"/>
              </w:rPr>
            </w:pPr>
            <w:r w:rsidRPr="00531C9F">
              <w:rPr>
                <w:rFonts w:ascii="inherit" w:eastAsia="Times New Roman" w:hAnsi="inherit" w:cs="Times New Roman"/>
              </w:rPr>
              <w:t>PDV-RS-10-2-3</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rPr>
                <w:rFonts w:ascii="inherit" w:eastAsia="Times New Roman" w:hAnsi="inherit" w:cs="Times New Roman"/>
              </w:rPr>
            </w:pPr>
            <w:r w:rsidRPr="00531C9F">
              <w:rPr>
                <w:rFonts w:ascii="inherit" w:eastAsia="Times New Roman" w:hAnsi="inherit" w:cs="Times New Roman"/>
              </w:rPr>
              <w:t>Промет добара и услуга из области грађевинарства, извршен од стране обвезника ПДВ, за који је порески дужник прималац, обвезник ПДВ, односно лице из члана 9.став 1. ЗПДВ</w:t>
            </w:r>
          </w:p>
        </w:tc>
      </w:tr>
      <w:tr w:rsidR="00531C9F" w:rsidRPr="00531C9F" w:rsidTr="00531C9F">
        <w:trPr>
          <w:tblCellSpacing w:w="15" w:type="dxa"/>
        </w:trPr>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rPr>
                <w:rFonts w:ascii="inherit" w:eastAsia="Times New Roman" w:hAnsi="inherit" w:cs="Times New Roman"/>
              </w:rPr>
            </w:pPr>
            <w:r w:rsidRPr="00531C9F">
              <w:rPr>
                <w:rFonts w:ascii="inherit" w:eastAsia="Times New Roman" w:hAnsi="inherit" w:cs="Times New Roman"/>
              </w:rPr>
              <w:t>PDV-RS-10-2-4</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rPr>
                <w:rFonts w:ascii="inherit" w:eastAsia="Times New Roman" w:hAnsi="inherit" w:cs="Times New Roman"/>
              </w:rPr>
            </w:pPr>
            <w:r w:rsidRPr="00531C9F">
              <w:rPr>
                <w:rFonts w:ascii="inherit" w:eastAsia="Times New Roman" w:hAnsi="inherit" w:cs="Times New Roman"/>
              </w:rPr>
              <w:t>Промет електричне енергије и природног гаса који се испоручују преко преносне, транспортне и дистрибутивне мреже, извршен од стране обвезника ПДВ, за који је порески дужник прималац, обвезник ПДВ, који је ова добра набавио ради даље продаје</w:t>
            </w:r>
          </w:p>
        </w:tc>
      </w:tr>
      <w:tr w:rsidR="00531C9F" w:rsidRPr="00531C9F" w:rsidTr="00531C9F">
        <w:trPr>
          <w:tblCellSpacing w:w="15" w:type="dxa"/>
        </w:trPr>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rPr>
                <w:rFonts w:ascii="inherit" w:eastAsia="Times New Roman" w:hAnsi="inherit" w:cs="Times New Roman"/>
              </w:rPr>
            </w:pPr>
            <w:r w:rsidRPr="00531C9F">
              <w:rPr>
                <w:rFonts w:ascii="inherit" w:eastAsia="Times New Roman" w:hAnsi="inherit" w:cs="Times New Roman"/>
              </w:rPr>
              <w:t>PDV-RS-10-2-5-1</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rPr>
                <w:rFonts w:ascii="inherit" w:eastAsia="Times New Roman" w:hAnsi="inherit" w:cs="Times New Roman"/>
              </w:rPr>
            </w:pPr>
            <w:r w:rsidRPr="00531C9F">
              <w:rPr>
                <w:rFonts w:ascii="inherit" w:eastAsia="Times New Roman" w:hAnsi="inherit" w:cs="Times New Roman"/>
              </w:rPr>
              <w:t>Промет хипотековане непокретности код реализације хипотеке у складу са законом којим се уређује хипотека, извршен од стране обвезника ПДВ, за који је порески дужник прималац, обвезник ПДВ</w:t>
            </w:r>
          </w:p>
        </w:tc>
      </w:tr>
      <w:tr w:rsidR="00531C9F" w:rsidRPr="00531C9F" w:rsidTr="00531C9F">
        <w:trPr>
          <w:tblCellSpacing w:w="15" w:type="dxa"/>
        </w:trPr>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rPr>
                <w:rFonts w:ascii="inherit" w:eastAsia="Times New Roman" w:hAnsi="inherit" w:cs="Times New Roman"/>
              </w:rPr>
            </w:pPr>
            <w:r w:rsidRPr="00531C9F">
              <w:rPr>
                <w:rFonts w:ascii="inherit" w:eastAsia="Times New Roman" w:hAnsi="inherit" w:cs="Times New Roman"/>
              </w:rPr>
              <w:t>PDV-RS-10-2-5-2</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rPr>
                <w:rFonts w:ascii="inherit" w:eastAsia="Times New Roman" w:hAnsi="inherit" w:cs="Times New Roman"/>
              </w:rPr>
            </w:pPr>
            <w:r w:rsidRPr="00531C9F">
              <w:rPr>
                <w:rFonts w:ascii="inherit" w:eastAsia="Times New Roman" w:hAnsi="inherit" w:cs="Times New Roman"/>
              </w:rPr>
              <w:t>Промет предмета заложног права код реализације уговора о залози у складу са законом који се уређује заложно право на покретним стварима, извршен од стране обвезника ПДВ, за који је порески дужник прималац, обвезник ПДВ</w:t>
            </w:r>
          </w:p>
        </w:tc>
      </w:tr>
      <w:tr w:rsidR="00531C9F" w:rsidRPr="00531C9F" w:rsidTr="00531C9F">
        <w:trPr>
          <w:tblCellSpacing w:w="15" w:type="dxa"/>
        </w:trPr>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rPr>
                <w:rFonts w:ascii="inherit" w:eastAsia="Times New Roman" w:hAnsi="inherit" w:cs="Times New Roman"/>
              </w:rPr>
            </w:pPr>
            <w:r w:rsidRPr="00531C9F">
              <w:rPr>
                <w:rFonts w:ascii="inherit" w:eastAsia="Times New Roman" w:hAnsi="inherit" w:cs="Times New Roman"/>
              </w:rPr>
              <w:t>PDV-RS-10-2-5-3</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rPr>
                <w:rFonts w:ascii="inherit" w:eastAsia="Times New Roman" w:hAnsi="inherit" w:cs="Times New Roman"/>
              </w:rPr>
            </w:pPr>
            <w:r w:rsidRPr="00531C9F">
              <w:rPr>
                <w:rFonts w:ascii="inherit" w:eastAsia="Times New Roman" w:hAnsi="inherit" w:cs="Times New Roman"/>
              </w:rPr>
              <w:t>Промет добара или услуга над којима се спроводи извршење у извршном поступку у складу са законом, са изузетком првог преноса права располагања на новоизграђеним грађевинским објектима, економски дељивих целина у оквиру тих објеката и власничких удела на тим добрима, извршен од стране обвезника ПДВ, за који је порески дужник прималац добара или услуга, обвезник ПДВ</w:t>
            </w:r>
          </w:p>
        </w:tc>
      </w:tr>
      <w:tr w:rsidR="00531C9F" w:rsidRPr="00531C9F" w:rsidTr="00531C9F">
        <w:trPr>
          <w:tblCellSpacing w:w="15" w:type="dxa"/>
        </w:trPr>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rPr>
                <w:rFonts w:ascii="inherit" w:eastAsia="Times New Roman" w:hAnsi="inherit" w:cs="Times New Roman"/>
              </w:rPr>
            </w:pPr>
            <w:r w:rsidRPr="00531C9F">
              <w:rPr>
                <w:rFonts w:ascii="inherit" w:eastAsia="Times New Roman" w:hAnsi="inherit" w:cs="Times New Roman"/>
              </w:rPr>
              <w:t>PDV-RS-10-2-5-3-OBJ</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rPr>
                <w:rFonts w:ascii="inherit" w:eastAsia="Times New Roman" w:hAnsi="inherit" w:cs="Times New Roman"/>
              </w:rPr>
            </w:pPr>
            <w:r w:rsidRPr="00531C9F">
              <w:rPr>
                <w:rFonts w:ascii="inherit" w:eastAsia="Times New Roman" w:hAnsi="inherit" w:cs="Times New Roman"/>
              </w:rPr>
              <w:t>Први пренос права располагања на новоизграђеним грађевинским објектима, економски дељивим целинама у оквиру тих објеката и власничким уделима на тим добрима, који су предмет извршења у извршном поступку у складу са законом, извршен од стране обвезника ПДВ, за који је порески дужник прималац, обвезник ПДВ</w:t>
            </w:r>
          </w:p>
        </w:tc>
      </w:tr>
    </w:tbl>
    <w:p w:rsidR="00531C9F" w:rsidRPr="00531C9F" w:rsidRDefault="00531C9F" w:rsidP="00531C9F">
      <w:pPr>
        <w:shd w:val="clear" w:color="auto" w:fill="FFFFFF"/>
        <w:spacing w:after="0" w:line="240" w:lineRule="auto"/>
        <w:textAlignment w:val="baseline"/>
        <w:rPr>
          <w:rFonts w:ascii="Helvetica" w:eastAsia="Times New Roman" w:hAnsi="Helvetica" w:cs="Helvetica"/>
          <w:color w:val="333333"/>
          <w:sz w:val="27"/>
          <w:szCs w:val="27"/>
        </w:rPr>
      </w:pPr>
      <w:r w:rsidRPr="00531C9F">
        <w:rPr>
          <w:rFonts w:ascii="inherit" w:eastAsia="Times New Roman" w:hAnsi="inherit" w:cs="Helvetica"/>
          <w:i/>
          <w:iCs/>
          <w:color w:val="333333"/>
          <w:sz w:val="27"/>
          <w:szCs w:val="27"/>
          <w:bdr w:val="none" w:sz="0" w:space="0" w:color="auto" w:frame="1"/>
        </w:rPr>
        <w:t>Шифре за примену пореске категорије АЕ20</w:t>
      </w:r>
    </w:p>
    <w:tbl>
      <w:tblPr>
        <w:tblW w:w="10083" w:type="dxa"/>
        <w:tblCellSpacing w:w="15" w:type="dxa"/>
        <w:tblBorders>
          <w:top w:val="single" w:sz="6" w:space="0" w:color="DDDDDD"/>
          <w:left w:val="single" w:sz="6" w:space="0" w:color="DDDDDD"/>
          <w:right w:val="single" w:sz="6" w:space="0" w:color="DDDDDD"/>
        </w:tblBorders>
        <w:tblCellMar>
          <w:top w:w="15" w:type="dxa"/>
          <w:left w:w="15" w:type="dxa"/>
          <w:bottom w:w="15" w:type="dxa"/>
          <w:right w:w="15" w:type="dxa"/>
        </w:tblCellMar>
        <w:tblLook w:val="04A0" w:firstRow="1" w:lastRow="0" w:firstColumn="1" w:lastColumn="0" w:noHBand="0" w:noVBand="1"/>
      </w:tblPr>
      <w:tblGrid>
        <w:gridCol w:w="1228"/>
        <w:gridCol w:w="30"/>
        <w:gridCol w:w="8825"/>
      </w:tblGrid>
      <w:tr w:rsidR="00531C9F" w:rsidRPr="00531C9F" w:rsidTr="00531C9F">
        <w:trPr>
          <w:tblHeader/>
          <w:tblCellSpacing w:w="15" w:type="dxa"/>
        </w:trPr>
        <w:tc>
          <w:tcPr>
            <w:tcW w:w="1962" w:type="dxa"/>
            <w:gridSpan w:val="2"/>
            <w:tcBorders>
              <w:top w:val="single" w:sz="6" w:space="0" w:color="DDDDDD"/>
              <w:left w:val="nil"/>
              <w:bottom w:val="single" w:sz="6"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24"/>
                <w:szCs w:val="24"/>
              </w:rPr>
            </w:pPr>
          </w:p>
        </w:tc>
        <w:tc>
          <w:tcPr>
            <w:tcW w:w="8061" w:type="dxa"/>
            <w:tcBorders>
              <w:top w:val="single" w:sz="6" w:space="0" w:color="DDDDDD"/>
              <w:left w:val="nil"/>
              <w:bottom w:val="single" w:sz="6"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24"/>
                <w:szCs w:val="24"/>
              </w:rPr>
            </w:pPr>
          </w:p>
        </w:tc>
      </w:tr>
      <w:tr w:rsidR="00531C9F" w:rsidRPr="00531C9F" w:rsidTr="00531C9F">
        <w:trPr>
          <w:tblHeader/>
          <w:tblCellSpacing w:w="15" w:type="dxa"/>
        </w:trPr>
        <w:tc>
          <w:tcPr>
            <w:tcW w:w="1962" w:type="dxa"/>
            <w:tcBorders>
              <w:top w:val="single" w:sz="2" w:space="0" w:color="DDDDDD"/>
              <w:left w:val="nil"/>
              <w:bottom w:val="single" w:sz="2"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1"/>
              </w:rPr>
            </w:pPr>
          </w:p>
        </w:tc>
        <w:tc>
          <w:tcPr>
            <w:tcW w:w="8061" w:type="dxa"/>
            <w:gridSpan w:val="2"/>
            <w:tcBorders>
              <w:top w:val="single" w:sz="2" w:space="0" w:color="DDDDDD"/>
              <w:left w:val="nil"/>
              <w:bottom w:val="single" w:sz="2"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1"/>
              </w:rPr>
            </w:pPr>
          </w:p>
        </w:tc>
      </w:tr>
      <w:tr w:rsidR="00531C9F" w:rsidRPr="00531C9F" w:rsidTr="00531C9F">
        <w:trPr>
          <w:tblCellSpacing w:w="15" w:type="dxa"/>
        </w:trPr>
        <w:tc>
          <w:tcPr>
            <w:tcW w:w="1751" w:type="dxa"/>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rPr>
                <w:rFonts w:ascii="inherit" w:eastAsia="Times New Roman" w:hAnsi="inherit" w:cs="Times New Roman"/>
              </w:rPr>
            </w:pPr>
            <w:r w:rsidRPr="00531C9F">
              <w:rPr>
                <w:rFonts w:ascii="inherit" w:eastAsia="Times New Roman" w:hAnsi="inherit" w:cs="Times New Roman"/>
              </w:rPr>
              <w:t>AE20</w:t>
            </w:r>
          </w:p>
        </w:tc>
        <w:tc>
          <w:tcPr>
            <w:tcW w:w="8287" w:type="dxa"/>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rPr>
                <w:rFonts w:ascii="inherit" w:eastAsia="Times New Roman" w:hAnsi="inherit" w:cs="Times New Roman"/>
              </w:rPr>
            </w:pPr>
            <w:r w:rsidRPr="00531C9F">
              <w:rPr>
                <w:rFonts w:ascii="inherit" w:eastAsia="Times New Roman" w:hAnsi="inherit" w:cs="Times New Roman"/>
              </w:rPr>
              <w:t>Промет по пореској стопи од 20% за који је порески дужник прималац</w:t>
            </w:r>
          </w:p>
        </w:tc>
      </w:tr>
      <w:tr w:rsidR="00531C9F" w:rsidRPr="00531C9F" w:rsidTr="00531C9F">
        <w:trPr>
          <w:tblCellSpacing w:w="15" w:type="dxa"/>
        </w:trPr>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rPr>
                <w:rFonts w:ascii="inherit" w:eastAsia="Times New Roman" w:hAnsi="inherit" w:cs="Times New Roman"/>
              </w:rPr>
            </w:pPr>
            <w:r w:rsidRPr="00531C9F">
              <w:rPr>
                <w:rFonts w:ascii="inherit" w:eastAsia="Times New Roman" w:hAnsi="inherit" w:cs="Times New Roman"/>
              </w:rPr>
              <w:t>PDV-RS-</w:t>
            </w:r>
            <w:r w:rsidRPr="00531C9F">
              <w:rPr>
                <w:rFonts w:ascii="inherit" w:eastAsia="Times New Roman" w:hAnsi="inherit" w:cs="Times New Roman"/>
              </w:rPr>
              <w:lastRenderedPageBreak/>
              <w:t>10-2-1</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rPr>
                <w:rFonts w:ascii="inherit" w:eastAsia="Times New Roman" w:hAnsi="inherit" w:cs="Times New Roman"/>
              </w:rPr>
            </w:pPr>
            <w:r w:rsidRPr="00531C9F">
              <w:rPr>
                <w:rFonts w:ascii="inherit" w:eastAsia="Times New Roman" w:hAnsi="inherit" w:cs="Times New Roman"/>
              </w:rPr>
              <w:lastRenderedPageBreak/>
              <w:t xml:space="preserve">Промет секундарних сировина и услуга које су непосредно повезане са тим добрима, </w:t>
            </w:r>
            <w:r w:rsidRPr="00531C9F">
              <w:rPr>
                <w:rFonts w:ascii="inherit" w:eastAsia="Times New Roman" w:hAnsi="inherit" w:cs="Times New Roman"/>
              </w:rPr>
              <w:lastRenderedPageBreak/>
              <w:t>извршен од стране обвезника ПДВ, за који је порески дужник прималац, обвезник ПДВ</w:t>
            </w:r>
          </w:p>
        </w:tc>
      </w:tr>
      <w:tr w:rsidR="00531C9F" w:rsidRPr="00531C9F" w:rsidTr="00531C9F">
        <w:trPr>
          <w:tblCellSpacing w:w="15" w:type="dxa"/>
        </w:trPr>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rPr>
                <w:rFonts w:ascii="inherit" w:eastAsia="Times New Roman" w:hAnsi="inherit" w:cs="Times New Roman"/>
              </w:rPr>
            </w:pPr>
            <w:r w:rsidRPr="00531C9F">
              <w:rPr>
                <w:rFonts w:ascii="inherit" w:eastAsia="Times New Roman" w:hAnsi="inherit" w:cs="Times New Roman"/>
              </w:rPr>
              <w:lastRenderedPageBreak/>
              <w:t>PDV-RS-10-2-2</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rPr>
                <w:rFonts w:ascii="inherit" w:eastAsia="Times New Roman" w:hAnsi="inherit" w:cs="Times New Roman"/>
              </w:rPr>
            </w:pPr>
            <w:r w:rsidRPr="00531C9F">
              <w:rPr>
                <w:rFonts w:ascii="inherit" w:eastAsia="Times New Roman" w:hAnsi="inherit" w:cs="Times New Roman"/>
              </w:rPr>
              <w:t>Промет грађевинских објеката и економски дељивих целина у оквиру тих објеката, укључујући и власничке уделе на тим добрима, извршен од стране обвезника ПДВ другом обвезнику ПДВ, у случају када је уговором на основу којег се врши промет тих добара предвиђено да ће се на тај промет обрачунати ПДВ у складу са ЗПДВ, за који је порески дужник прималац</w:t>
            </w:r>
          </w:p>
        </w:tc>
      </w:tr>
      <w:tr w:rsidR="00531C9F" w:rsidRPr="00531C9F" w:rsidTr="00531C9F">
        <w:trPr>
          <w:tblCellSpacing w:w="15" w:type="dxa"/>
        </w:trPr>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rPr>
                <w:rFonts w:ascii="inherit" w:eastAsia="Times New Roman" w:hAnsi="inherit" w:cs="Times New Roman"/>
              </w:rPr>
            </w:pPr>
            <w:r w:rsidRPr="00531C9F">
              <w:rPr>
                <w:rFonts w:ascii="inherit" w:eastAsia="Times New Roman" w:hAnsi="inherit" w:cs="Times New Roman"/>
              </w:rPr>
              <w:t>PDV-RS-10-2-3</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rPr>
                <w:rFonts w:ascii="inherit" w:eastAsia="Times New Roman" w:hAnsi="inherit" w:cs="Times New Roman"/>
              </w:rPr>
            </w:pPr>
            <w:r w:rsidRPr="00531C9F">
              <w:rPr>
                <w:rFonts w:ascii="inherit" w:eastAsia="Times New Roman" w:hAnsi="inherit" w:cs="Times New Roman"/>
              </w:rPr>
              <w:t>Промет добара и услуга из области грађевинарства, извршен од стране обвезника ПДВ, за који је порески дужник прималац, обвезник ПДВ, односно лице из члана 9.став 1. ЗПДВ</w:t>
            </w:r>
          </w:p>
        </w:tc>
      </w:tr>
      <w:tr w:rsidR="00531C9F" w:rsidRPr="00531C9F" w:rsidTr="00531C9F">
        <w:trPr>
          <w:tblCellSpacing w:w="15" w:type="dxa"/>
        </w:trPr>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rPr>
                <w:rFonts w:ascii="inherit" w:eastAsia="Times New Roman" w:hAnsi="inherit" w:cs="Times New Roman"/>
              </w:rPr>
            </w:pPr>
            <w:r w:rsidRPr="00531C9F">
              <w:rPr>
                <w:rFonts w:ascii="inherit" w:eastAsia="Times New Roman" w:hAnsi="inherit" w:cs="Times New Roman"/>
              </w:rPr>
              <w:t>PDV-RS-10-2-4</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rPr>
                <w:rFonts w:ascii="inherit" w:eastAsia="Times New Roman" w:hAnsi="inherit" w:cs="Times New Roman"/>
              </w:rPr>
            </w:pPr>
            <w:r w:rsidRPr="00531C9F">
              <w:rPr>
                <w:rFonts w:ascii="inherit" w:eastAsia="Times New Roman" w:hAnsi="inherit" w:cs="Times New Roman"/>
              </w:rPr>
              <w:t>Промет електричне енергије и природног гаса који се испоручују преко преносне, транспортне и дистрибутивне мреже, извршен од стране обвезника ПДВ, за који је порески дужник прималац, обвезник ПДВ, који је ова добра набавио ради даље продаје</w:t>
            </w:r>
          </w:p>
        </w:tc>
      </w:tr>
      <w:tr w:rsidR="00531C9F" w:rsidRPr="00531C9F" w:rsidTr="00531C9F">
        <w:trPr>
          <w:tblCellSpacing w:w="15" w:type="dxa"/>
        </w:trPr>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rPr>
                <w:rFonts w:ascii="inherit" w:eastAsia="Times New Roman" w:hAnsi="inherit" w:cs="Times New Roman"/>
              </w:rPr>
            </w:pPr>
            <w:r w:rsidRPr="00531C9F">
              <w:rPr>
                <w:rFonts w:ascii="inherit" w:eastAsia="Times New Roman" w:hAnsi="inherit" w:cs="Times New Roman"/>
              </w:rPr>
              <w:t>PDV-RS-10-2-5-1</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rPr>
                <w:rFonts w:ascii="inherit" w:eastAsia="Times New Roman" w:hAnsi="inherit" w:cs="Times New Roman"/>
              </w:rPr>
            </w:pPr>
            <w:r w:rsidRPr="00531C9F">
              <w:rPr>
                <w:rFonts w:ascii="inherit" w:eastAsia="Times New Roman" w:hAnsi="inherit" w:cs="Times New Roman"/>
              </w:rPr>
              <w:t>Промет хипотековане непокретности код реализације хипотеке у складу са законом којим се уређује хипотека, извршен од стране обвезника ПДВ, за који је порески дужник прималац, обвезник ПДВ</w:t>
            </w:r>
          </w:p>
        </w:tc>
      </w:tr>
      <w:tr w:rsidR="00531C9F" w:rsidRPr="00531C9F" w:rsidTr="00531C9F">
        <w:trPr>
          <w:tblCellSpacing w:w="15" w:type="dxa"/>
        </w:trPr>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rPr>
                <w:rFonts w:ascii="inherit" w:eastAsia="Times New Roman" w:hAnsi="inherit" w:cs="Times New Roman"/>
              </w:rPr>
            </w:pPr>
            <w:r w:rsidRPr="00531C9F">
              <w:rPr>
                <w:rFonts w:ascii="inherit" w:eastAsia="Times New Roman" w:hAnsi="inherit" w:cs="Times New Roman"/>
              </w:rPr>
              <w:t>PDV-RS-10-2-5-2</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rPr>
                <w:rFonts w:ascii="inherit" w:eastAsia="Times New Roman" w:hAnsi="inherit" w:cs="Times New Roman"/>
              </w:rPr>
            </w:pPr>
            <w:r w:rsidRPr="00531C9F">
              <w:rPr>
                <w:rFonts w:ascii="inherit" w:eastAsia="Times New Roman" w:hAnsi="inherit" w:cs="Times New Roman"/>
              </w:rPr>
              <w:t>Промет предмета заложног права код реализације уговора о залози у складу са законом који се уређује заложно право на покретним стварима, извршен од стране обвезника ПДВ, за који је порески дужник прималац, обвезник ПДВ</w:t>
            </w:r>
          </w:p>
        </w:tc>
      </w:tr>
      <w:tr w:rsidR="00531C9F" w:rsidRPr="00531C9F" w:rsidTr="00531C9F">
        <w:trPr>
          <w:tblCellSpacing w:w="15" w:type="dxa"/>
        </w:trPr>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rPr>
                <w:rFonts w:ascii="inherit" w:eastAsia="Times New Roman" w:hAnsi="inherit" w:cs="Times New Roman"/>
              </w:rPr>
            </w:pPr>
            <w:r w:rsidRPr="00531C9F">
              <w:rPr>
                <w:rFonts w:ascii="inherit" w:eastAsia="Times New Roman" w:hAnsi="inherit" w:cs="Times New Roman"/>
              </w:rPr>
              <w:t>PDV-RS-10-2-5-3</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rPr>
                <w:rFonts w:ascii="inherit" w:eastAsia="Times New Roman" w:hAnsi="inherit" w:cs="Times New Roman"/>
              </w:rPr>
            </w:pPr>
            <w:r w:rsidRPr="00531C9F">
              <w:rPr>
                <w:rFonts w:ascii="inherit" w:eastAsia="Times New Roman" w:hAnsi="inherit" w:cs="Times New Roman"/>
              </w:rPr>
              <w:t>Промет добара или услуга над којима се спроводи извршење у извршном поступку у складу са законом, са изузетком првог преноса права располагања на новоизграђеним грађевинским објектима, економски дељивих целина у оквиру тих објеката и власничких удела на тим добрима, извршен од стране обвезника ПДВ, за који је порески дужник прималац добара или услуга, обвезник ПДВ</w:t>
            </w:r>
          </w:p>
        </w:tc>
      </w:tr>
      <w:tr w:rsidR="00531C9F" w:rsidRPr="00531C9F" w:rsidTr="00531C9F">
        <w:trPr>
          <w:tblCellSpacing w:w="15" w:type="dxa"/>
        </w:trPr>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rPr>
                <w:rFonts w:ascii="inherit" w:eastAsia="Times New Roman" w:hAnsi="inherit" w:cs="Times New Roman"/>
              </w:rPr>
            </w:pPr>
            <w:r w:rsidRPr="00531C9F">
              <w:rPr>
                <w:rFonts w:ascii="inherit" w:eastAsia="Times New Roman" w:hAnsi="inherit" w:cs="Times New Roman"/>
              </w:rPr>
              <w:t>PDV-RS-10-2-5-3-OBJ</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rPr>
                <w:rFonts w:ascii="inherit" w:eastAsia="Times New Roman" w:hAnsi="inherit" w:cs="Times New Roman"/>
              </w:rPr>
            </w:pPr>
            <w:r w:rsidRPr="00531C9F">
              <w:rPr>
                <w:rFonts w:ascii="inherit" w:eastAsia="Times New Roman" w:hAnsi="inherit" w:cs="Times New Roman"/>
              </w:rPr>
              <w:t>Први пренос права располагања на новоизграђеним грађевинским објектима, економски дељивим целинама у оквиру тих објеката и власничким уделима на тим добрима, који су предмет извршења у извршном поступку у складу са законом, извршен од стране обвезника ПДВ, за који је порески дужник прималац, обвезник ПДВ</w:t>
            </w:r>
          </w:p>
        </w:tc>
      </w:tr>
      <w:tr w:rsidR="00531C9F" w:rsidRPr="00531C9F" w:rsidTr="00531C9F">
        <w:trPr>
          <w:tblCellSpacing w:w="15" w:type="dxa"/>
        </w:trPr>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rPr>
                <w:rFonts w:ascii="inherit" w:eastAsia="Times New Roman" w:hAnsi="inherit" w:cs="Times New Roman"/>
              </w:rPr>
            </w:pPr>
            <w:r w:rsidRPr="00531C9F">
              <w:rPr>
                <w:rFonts w:ascii="inherit" w:eastAsia="Times New Roman" w:hAnsi="inherit" w:cs="Times New Roman"/>
              </w:rPr>
              <w:t>PDV-RS-36b-6</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rPr>
                <w:rFonts w:ascii="inherit" w:eastAsia="Times New Roman" w:hAnsi="inherit" w:cs="Times New Roman"/>
              </w:rPr>
            </w:pPr>
            <w:r w:rsidRPr="00531C9F">
              <w:rPr>
                <w:rFonts w:ascii="inherit" w:eastAsia="Times New Roman" w:hAnsi="inherit" w:cs="Times New Roman"/>
              </w:rPr>
              <w:t>Промет инвестиционог злата по пореској стопи од 20% за који је порески дужник прималац, обвезник ПДВ</w:t>
            </w:r>
          </w:p>
        </w:tc>
      </w:tr>
    </w:tbl>
    <w:p w:rsidR="00531C9F" w:rsidRPr="00531C9F" w:rsidRDefault="00531C9F" w:rsidP="00531C9F">
      <w:pPr>
        <w:shd w:val="clear" w:color="auto" w:fill="FFFFFF"/>
        <w:spacing w:after="0" w:line="240" w:lineRule="auto"/>
        <w:textAlignment w:val="baseline"/>
        <w:outlineLvl w:val="4"/>
        <w:rPr>
          <w:rFonts w:ascii="Helvetica" w:eastAsia="Times New Roman" w:hAnsi="Helvetica" w:cs="Helvetica"/>
          <w:b/>
          <w:bCs/>
          <w:color w:val="D23232"/>
          <w:sz w:val="30"/>
          <w:szCs w:val="30"/>
        </w:rPr>
      </w:pPr>
      <w:r w:rsidRPr="00531C9F">
        <w:rPr>
          <w:rFonts w:ascii="inherit" w:eastAsia="Times New Roman" w:hAnsi="inherit" w:cs="Helvetica"/>
          <w:b/>
          <w:bCs/>
          <w:color w:val="D23232"/>
          <w:sz w:val="30"/>
          <w:szCs w:val="30"/>
          <w:bdr w:val="none" w:sz="0" w:space="0" w:color="auto" w:frame="1"/>
        </w:rPr>
        <w:t>2.3. Нова правила/валидације</w:t>
      </w:r>
    </w:p>
    <w:p w:rsidR="00531C9F" w:rsidRPr="00531C9F" w:rsidRDefault="00531C9F" w:rsidP="00531C9F">
      <w:pPr>
        <w:shd w:val="clear" w:color="auto" w:fill="FFFFFF"/>
        <w:spacing w:after="450" w:line="240" w:lineRule="auto"/>
        <w:textAlignment w:val="baseline"/>
        <w:rPr>
          <w:rFonts w:ascii="Helvetica" w:eastAsia="Times New Roman" w:hAnsi="Helvetica" w:cs="Helvetica"/>
          <w:color w:val="333333"/>
          <w:sz w:val="27"/>
          <w:szCs w:val="27"/>
        </w:rPr>
      </w:pPr>
      <w:r w:rsidRPr="00531C9F">
        <w:rPr>
          <w:rFonts w:ascii="Helvetica" w:eastAsia="Times New Roman" w:hAnsi="Helvetica" w:cs="Helvetica"/>
          <w:color w:val="333333"/>
          <w:sz w:val="27"/>
          <w:szCs w:val="27"/>
        </w:rPr>
        <w:t>Предложено је да приликом издавања електронске фактуре за промет објеката (независно од тога да ли се ради о првом преносу или не) издавалац не исказује друге промете (који се не сматрају прометом објеката). Електронске фактуре за промет објеката могу садржати различите пореске категорије (нпр. S10, AE20 и Z), односно шифре које се односе искључиво на промет објеката (дате у табели), као и шифре којима је, поред другог промета, обуваћен и промет објеката (нпр. PDV-RS-24-1-5).</w:t>
      </w:r>
    </w:p>
    <w:p w:rsidR="00531C9F" w:rsidRPr="00531C9F" w:rsidRDefault="00531C9F" w:rsidP="00531C9F">
      <w:pPr>
        <w:shd w:val="clear" w:color="auto" w:fill="FFFFFF"/>
        <w:spacing w:after="0" w:line="240" w:lineRule="auto"/>
        <w:textAlignment w:val="baseline"/>
        <w:rPr>
          <w:rFonts w:ascii="Helvetica" w:eastAsia="Times New Roman" w:hAnsi="Helvetica" w:cs="Helvetica"/>
          <w:color w:val="333333"/>
          <w:sz w:val="27"/>
          <w:szCs w:val="27"/>
        </w:rPr>
      </w:pPr>
      <w:r w:rsidRPr="00531C9F">
        <w:rPr>
          <w:rFonts w:ascii="inherit" w:eastAsia="Times New Roman" w:hAnsi="inherit" w:cs="Helvetica"/>
          <w:i/>
          <w:iCs/>
          <w:color w:val="333333"/>
          <w:sz w:val="27"/>
          <w:szCs w:val="27"/>
          <w:bdr w:val="none" w:sz="0" w:space="0" w:color="auto" w:frame="1"/>
        </w:rPr>
        <w:lastRenderedPageBreak/>
        <w:t>Шифре које се односе искључиво на промет објеката који је опорезив и ослобођен ПДВ</w:t>
      </w:r>
    </w:p>
    <w:tbl>
      <w:tblPr>
        <w:tblW w:w="10083" w:type="dxa"/>
        <w:tblCellSpacing w:w="15" w:type="dxa"/>
        <w:tblBorders>
          <w:top w:val="single" w:sz="6" w:space="0" w:color="DDDDDD"/>
          <w:left w:val="single" w:sz="6" w:space="0" w:color="DDDDDD"/>
          <w:right w:val="single" w:sz="6" w:space="0" w:color="DDDDDD"/>
        </w:tblBorders>
        <w:tblCellMar>
          <w:top w:w="15" w:type="dxa"/>
          <w:left w:w="15" w:type="dxa"/>
          <w:bottom w:w="15" w:type="dxa"/>
          <w:right w:w="15" w:type="dxa"/>
        </w:tblCellMar>
        <w:tblLook w:val="04A0" w:firstRow="1" w:lastRow="0" w:firstColumn="1" w:lastColumn="0" w:noHBand="0" w:noVBand="1"/>
      </w:tblPr>
      <w:tblGrid>
        <w:gridCol w:w="1228"/>
        <w:gridCol w:w="30"/>
        <w:gridCol w:w="8825"/>
      </w:tblGrid>
      <w:tr w:rsidR="00531C9F" w:rsidRPr="00531C9F" w:rsidTr="00531C9F">
        <w:trPr>
          <w:tblHeader/>
          <w:tblCellSpacing w:w="15" w:type="dxa"/>
        </w:trPr>
        <w:tc>
          <w:tcPr>
            <w:tcW w:w="2081" w:type="dxa"/>
            <w:gridSpan w:val="2"/>
            <w:tcBorders>
              <w:top w:val="single" w:sz="6" w:space="0" w:color="DDDDDD"/>
              <w:left w:val="nil"/>
              <w:bottom w:val="single" w:sz="6"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24"/>
                <w:szCs w:val="24"/>
              </w:rPr>
            </w:pPr>
          </w:p>
        </w:tc>
        <w:tc>
          <w:tcPr>
            <w:tcW w:w="7942" w:type="dxa"/>
            <w:tcBorders>
              <w:top w:val="single" w:sz="6" w:space="0" w:color="DDDDDD"/>
              <w:left w:val="nil"/>
              <w:bottom w:val="single" w:sz="6"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24"/>
                <w:szCs w:val="24"/>
              </w:rPr>
            </w:pPr>
          </w:p>
        </w:tc>
      </w:tr>
      <w:tr w:rsidR="00531C9F" w:rsidRPr="00531C9F" w:rsidTr="00531C9F">
        <w:trPr>
          <w:tblHeader/>
          <w:tblCellSpacing w:w="15" w:type="dxa"/>
        </w:trPr>
        <w:tc>
          <w:tcPr>
            <w:tcW w:w="2081" w:type="dxa"/>
            <w:tcBorders>
              <w:top w:val="single" w:sz="2" w:space="0" w:color="DDDDDD"/>
              <w:left w:val="nil"/>
              <w:bottom w:val="single" w:sz="2"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1"/>
              </w:rPr>
            </w:pPr>
          </w:p>
        </w:tc>
        <w:tc>
          <w:tcPr>
            <w:tcW w:w="7942" w:type="dxa"/>
            <w:gridSpan w:val="2"/>
            <w:tcBorders>
              <w:top w:val="single" w:sz="2" w:space="0" w:color="DDDDDD"/>
              <w:left w:val="nil"/>
              <w:bottom w:val="single" w:sz="2"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1"/>
              </w:rPr>
            </w:pPr>
          </w:p>
        </w:tc>
      </w:tr>
      <w:tr w:rsidR="00531C9F" w:rsidRPr="00531C9F" w:rsidTr="00531C9F">
        <w:trPr>
          <w:tblCellSpacing w:w="15" w:type="dxa"/>
        </w:trPr>
        <w:tc>
          <w:tcPr>
            <w:tcW w:w="1881" w:type="dxa"/>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rPr>
                <w:rFonts w:ascii="inherit" w:eastAsia="Times New Roman" w:hAnsi="inherit" w:cs="Times New Roman"/>
              </w:rPr>
            </w:pPr>
            <w:r w:rsidRPr="00531C9F">
              <w:rPr>
                <w:rFonts w:ascii="inherit" w:eastAsia="Times New Roman" w:hAnsi="inherit" w:cs="Times New Roman"/>
              </w:rPr>
              <w:t>S10</w:t>
            </w:r>
          </w:p>
        </w:tc>
        <w:tc>
          <w:tcPr>
            <w:tcW w:w="8157" w:type="dxa"/>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rPr>
                <w:rFonts w:ascii="inherit" w:eastAsia="Times New Roman" w:hAnsi="inherit" w:cs="Times New Roman"/>
              </w:rPr>
            </w:pPr>
            <w:r w:rsidRPr="00531C9F">
              <w:rPr>
                <w:rFonts w:ascii="inherit" w:eastAsia="Times New Roman" w:hAnsi="inherit" w:cs="Times New Roman"/>
              </w:rPr>
              <w:t>Промет по стопи од 10%</w:t>
            </w:r>
          </w:p>
        </w:tc>
      </w:tr>
      <w:tr w:rsidR="00531C9F" w:rsidRPr="00531C9F" w:rsidTr="00531C9F">
        <w:trPr>
          <w:tblCellSpacing w:w="15" w:type="dxa"/>
        </w:trPr>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rPr>
                <w:rFonts w:ascii="inherit" w:eastAsia="Times New Roman" w:hAnsi="inherit" w:cs="Times New Roman"/>
              </w:rPr>
            </w:pPr>
            <w:r w:rsidRPr="00531C9F">
              <w:rPr>
                <w:rFonts w:ascii="inherit" w:eastAsia="Times New Roman" w:hAnsi="inherit" w:cs="Times New Roman"/>
              </w:rPr>
              <w:t>PDV-RS-OBJ</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rPr>
                <w:rFonts w:ascii="inherit" w:eastAsia="Times New Roman" w:hAnsi="inherit" w:cs="Times New Roman"/>
              </w:rPr>
            </w:pPr>
            <w:r w:rsidRPr="00531C9F">
              <w:rPr>
                <w:rFonts w:ascii="inherit" w:eastAsia="Times New Roman" w:hAnsi="inherit" w:cs="Times New Roman"/>
              </w:rPr>
              <w:t>Први пренос права располагања на новоизграђеним грађевинским објектима, економски дељивим целинама у оквиру тих објеката, као и власничким уделима на новоизграђеним грађевинским објектима или економски дељивим целинама у оквиру тих објеката</w:t>
            </w:r>
          </w:p>
        </w:tc>
      </w:tr>
      <w:tr w:rsidR="00531C9F" w:rsidRPr="00531C9F" w:rsidTr="00531C9F">
        <w:trPr>
          <w:trHeight w:val="90"/>
          <w:tblCellSpacing w:w="15" w:type="dxa"/>
        </w:trPr>
        <w:tc>
          <w:tcPr>
            <w:tcW w:w="0" w:type="auto"/>
            <w:gridSpan w:val="3"/>
            <w:tcBorders>
              <w:top w:val="nil"/>
              <w:left w:val="nil"/>
              <w:bottom w:val="nil"/>
              <w:right w:val="nil"/>
            </w:tcBorders>
            <w:shd w:val="clear" w:color="auto" w:fill="FFFFFF"/>
            <w:tcMar>
              <w:top w:w="120" w:type="dxa"/>
              <w:left w:w="150" w:type="dxa"/>
              <w:bottom w:w="120" w:type="dxa"/>
              <w:right w:w="150" w:type="dxa"/>
            </w:tcMar>
            <w:vAlign w:val="bottom"/>
            <w:hideMark/>
          </w:tcPr>
          <w:p w:rsidR="00531C9F" w:rsidRPr="00531C9F" w:rsidRDefault="00531C9F" w:rsidP="00531C9F">
            <w:pPr>
              <w:spacing w:after="0" w:line="240" w:lineRule="auto"/>
              <w:jc w:val="center"/>
              <w:rPr>
                <w:rFonts w:ascii="inherit" w:eastAsia="Times New Roman" w:hAnsi="inherit" w:cs="Times New Roman"/>
                <w:sz w:val="10"/>
              </w:rPr>
            </w:pPr>
          </w:p>
        </w:tc>
      </w:tr>
      <w:tr w:rsidR="00531C9F" w:rsidRPr="00531C9F" w:rsidTr="00531C9F">
        <w:trPr>
          <w:tblCellSpacing w:w="15" w:type="dxa"/>
        </w:trPr>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rPr>
                <w:rFonts w:ascii="inherit" w:eastAsia="Times New Roman" w:hAnsi="inherit" w:cs="Times New Roman"/>
              </w:rPr>
            </w:pPr>
            <w:r w:rsidRPr="00531C9F">
              <w:rPr>
                <w:rFonts w:ascii="inherit" w:eastAsia="Times New Roman" w:hAnsi="inherit" w:cs="Times New Roman"/>
              </w:rPr>
              <w:t>S20</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rPr>
                <w:rFonts w:ascii="inherit" w:eastAsia="Times New Roman" w:hAnsi="inherit" w:cs="Times New Roman"/>
              </w:rPr>
            </w:pPr>
            <w:r w:rsidRPr="00531C9F">
              <w:rPr>
                <w:rFonts w:ascii="inherit" w:eastAsia="Times New Roman" w:hAnsi="inherit" w:cs="Times New Roman"/>
              </w:rPr>
              <w:t>Промет по стопи од 20%</w:t>
            </w:r>
          </w:p>
        </w:tc>
      </w:tr>
      <w:tr w:rsidR="00531C9F" w:rsidRPr="00531C9F" w:rsidTr="00531C9F">
        <w:trPr>
          <w:tblCellSpacing w:w="15" w:type="dxa"/>
        </w:trPr>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rPr>
                <w:rFonts w:ascii="inherit" w:eastAsia="Times New Roman" w:hAnsi="inherit" w:cs="Times New Roman"/>
              </w:rPr>
            </w:pPr>
            <w:r w:rsidRPr="00531C9F">
              <w:rPr>
                <w:rFonts w:ascii="inherit" w:eastAsia="Times New Roman" w:hAnsi="inherit" w:cs="Times New Roman"/>
              </w:rPr>
              <w:t>PDV-RS-OBJ</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rPr>
                <w:rFonts w:ascii="inherit" w:eastAsia="Times New Roman" w:hAnsi="inherit" w:cs="Times New Roman"/>
              </w:rPr>
            </w:pPr>
            <w:r w:rsidRPr="00531C9F">
              <w:rPr>
                <w:rFonts w:ascii="inherit" w:eastAsia="Times New Roman" w:hAnsi="inherit" w:cs="Times New Roman"/>
              </w:rPr>
              <w:t>Први пренос права располагања на новоизграђеним грађевинским објектима, економски дељивим целинама у оквиру тих објеката, као и власничким уделима на новоизграђеним грађевинским објектима или економски дељивим целинама у оквиру тих објеката</w:t>
            </w:r>
          </w:p>
        </w:tc>
      </w:tr>
      <w:tr w:rsidR="00531C9F" w:rsidRPr="00531C9F" w:rsidTr="00531C9F">
        <w:trPr>
          <w:tblCellSpacing w:w="15" w:type="dxa"/>
        </w:trPr>
        <w:tc>
          <w:tcPr>
            <w:tcW w:w="0" w:type="auto"/>
            <w:gridSpan w:val="3"/>
            <w:tcBorders>
              <w:top w:val="nil"/>
              <w:left w:val="nil"/>
              <w:bottom w:val="nil"/>
              <w:right w:val="nil"/>
            </w:tcBorders>
            <w:shd w:val="clear" w:color="auto" w:fill="FFFFFF"/>
            <w:tcMar>
              <w:top w:w="120" w:type="dxa"/>
              <w:left w:w="150" w:type="dxa"/>
              <w:bottom w:w="120" w:type="dxa"/>
              <w:right w:w="150" w:type="dxa"/>
            </w:tcMar>
            <w:vAlign w:val="bottom"/>
            <w:hideMark/>
          </w:tcPr>
          <w:p w:rsidR="00531C9F" w:rsidRPr="00531C9F" w:rsidRDefault="00531C9F" w:rsidP="00531C9F">
            <w:pPr>
              <w:spacing w:after="0" w:line="240" w:lineRule="auto"/>
              <w:jc w:val="center"/>
              <w:rPr>
                <w:rFonts w:ascii="inherit" w:eastAsia="Times New Roman" w:hAnsi="inherit" w:cs="Times New Roman"/>
              </w:rPr>
            </w:pPr>
          </w:p>
        </w:tc>
      </w:tr>
      <w:tr w:rsidR="00531C9F" w:rsidRPr="00531C9F" w:rsidTr="00531C9F">
        <w:trPr>
          <w:tblCellSpacing w:w="15" w:type="dxa"/>
        </w:trPr>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rPr>
                <w:rFonts w:ascii="inherit" w:eastAsia="Times New Roman" w:hAnsi="inherit" w:cs="Times New Roman"/>
              </w:rPr>
            </w:pPr>
            <w:r w:rsidRPr="00531C9F">
              <w:rPr>
                <w:rFonts w:ascii="inherit" w:eastAsia="Times New Roman" w:hAnsi="inherit" w:cs="Times New Roman"/>
              </w:rPr>
              <w:t>AE10</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rPr>
                <w:rFonts w:ascii="inherit" w:eastAsia="Times New Roman" w:hAnsi="inherit" w:cs="Times New Roman"/>
              </w:rPr>
            </w:pPr>
            <w:r w:rsidRPr="00531C9F">
              <w:rPr>
                <w:rFonts w:ascii="inherit" w:eastAsia="Times New Roman" w:hAnsi="inherit" w:cs="Times New Roman"/>
              </w:rPr>
              <w:t>Промет по пореској стопи од 10% за који је порески дужник прималац</w:t>
            </w:r>
          </w:p>
        </w:tc>
      </w:tr>
      <w:tr w:rsidR="00531C9F" w:rsidRPr="00531C9F" w:rsidTr="00531C9F">
        <w:trPr>
          <w:tblCellSpacing w:w="15" w:type="dxa"/>
        </w:trPr>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rPr>
                <w:rFonts w:ascii="inherit" w:eastAsia="Times New Roman" w:hAnsi="inherit" w:cs="Times New Roman"/>
              </w:rPr>
            </w:pPr>
            <w:r w:rsidRPr="00531C9F">
              <w:rPr>
                <w:rFonts w:ascii="inherit" w:eastAsia="Times New Roman" w:hAnsi="inherit" w:cs="Times New Roman"/>
              </w:rPr>
              <w:t>PDV-RS-10-2-2</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rPr>
                <w:rFonts w:ascii="inherit" w:eastAsia="Times New Roman" w:hAnsi="inherit" w:cs="Times New Roman"/>
              </w:rPr>
            </w:pPr>
            <w:r w:rsidRPr="00531C9F">
              <w:rPr>
                <w:rFonts w:ascii="inherit" w:eastAsia="Times New Roman" w:hAnsi="inherit" w:cs="Times New Roman"/>
              </w:rPr>
              <w:t>Промет грађевинских објеката и економски дељивих целина у оквиру тих објеката, укључујући и власничке уделе на тим добрима, извршен од стране обвезника ПДВ другом обвезнику ПДВ, у случају када је уговором на основу којег се врши промет тих добара предвиђено да ће се на тај промет обрачунати ПДВ у складу са ЗПДВ, за који је порески дужник прималац</w:t>
            </w:r>
          </w:p>
        </w:tc>
      </w:tr>
      <w:tr w:rsidR="00531C9F" w:rsidRPr="00531C9F" w:rsidTr="00531C9F">
        <w:trPr>
          <w:tblCellSpacing w:w="15" w:type="dxa"/>
        </w:trPr>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rPr>
                <w:rFonts w:ascii="inherit" w:eastAsia="Times New Roman" w:hAnsi="inherit" w:cs="Times New Roman"/>
              </w:rPr>
            </w:pPr>
            <w:r w:rsidRPr="00531C9F">
              <w:rPr>
                <w:rFonts w:ascii="inherit" w:eastAsia="Times New Roman" w:hAnsi="inherit" w:cs="Times New Roman"/>
              </w:rPr>
              <w:t>PDV-RS-10-2-5-1</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rPr>
                <w:rFonts w:ascii="inherit" w:eastAsia="Times New Roman" w:hAnsi="inherit" w:cs="Times New Roman"/>
              </w:rPr>
            </w:pPr>
            <w:r w:rsidRPr="00531C9F">
              <w:rPr>
                <w:rFonts w:ascii="inherit" w:eastAsia="Times New Roman" w:hAnsi="inherit" w:cs="Times New Roman"/>
              </w:rPr>
              <w:t>Промет хипотековане непокретности код реализације хипотеке у складу са законом којим се уређује хипотека, извршен од стране обвезника ПДВ, за који је порески дужник прималац, обвезник ПДВ</w:t>
            </w:r>
          </w:p>
        </w:tc>
      </w:tr>
      <w:tr w:rsidR="00531C9F" w:rsidRPr="00531C9F" w:rsidTr="00531C9F">
        <w:trPr>
          <w:tblCellSpacing w:w="15" w:type="dxa"/>
        </w:trPr>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rPr>
                <w:rFonts w:ascii="inherit" w:eastAsia="Times New Roman" w:hAnsi="inherit" w:cs="Times New Roman"/>
              </w:rPr>
            </w:pPr>
            <w:r w:rsidRPr="00531C9F">
              <w:rPr>
                <w:rFonts w:ascii="inherit" w:eastAsia="Times New Roman" w:hAnsi="inherit" w:cs="Times New Roman"/>
              </w:rPr>
              <w:t>PDV-RS-10-2-5-3-OBJ</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rPr>
                <w:rFonts w:ascii="inherit" w:eastAsia="Times New Roman" w:hAnsi="inherit" w:cs="Times New Roman"/>
              </w:rPr>
            </w:pPr>
            <w:r w:rsidRPr="00531C9F">
              <w:rPr>
                <w:rFonts w:ascii="inherit" w:eastAsia="Times New Roman" w:hAnsi="inherit" w:cs="Times New Roman"/>
              </w:rPr>
              <w:t>Први пренос права располагања на новоизграђеним грађевинским објектима, економски дељивих целина у оквиру тих објеката и власничких удела на тим добрима, који су предмет извршења у извршном поступку у складу са законом, извршен од стране обвезника ПДВ, за који је порески дужник прималац, обвезник ПДВ</w:t>
            </w:r>
          </w:p>
        </w:tc>
      </w:tr>
      <w:tr w:rsidR="00531C9F" w:rsidRPr="00531C9F" w:rsidTr="00531C9F">
        <w:trPr>
          <w:tblCellSpacing w:w="15" w:type="dxa"/>
        </w:trPr>
        <w:tc>
          <w:tcPr>
            <w:tcW w:w="0" w:type="auto"/>
            <w:gridSpan w:val="3"/>
            <w:tcBorders>
              <w:top w:val="nil"/>
              <w:left w:val="nil"/>
              <w:bottom w:val="nil"/>
              <w:right w:val="nil"/>
            </w:tcBorders>
            <w:shd w:val="clear" w:color="auto" w:fill="FFFFFF"/>
            <w:tcMar>
              <w:top w:w="120" w:type="dxa"/>
              <w:left w:w="150" w:type="dxa"/>
              <w:bottom w:w="120" w:type="dxa"/>
              <w:right w:w="150" w:type="dxa"/>
            </w:tcMar>
            <w:vAlign w:val="bottom"/>
            <w:hideMark/>
          </w:tcPr>
          <w:p w:rsidR="00531C9F" w:rsidRPr="00531C9F" w:rsidRDefault="00531C9F" w:rsidP="00531C9F">
            <w:pPr>
              <w:spacing w:after="0" w:line="240" w:lineRule="auto"/>
              <w:jc w:val="center"/>
              <w:rPr>
                <w:rFonts w:ascii="inherit" w:eastAsia="Times New Roman" w:hAnsi="inherit" w:cs="Times New Roman"/>
              </w:rPr>
            </w:pPr>
          </w:p>
        </w:tc>
      </w:tr>
      <w:tr w:rsidR="00531C9F" w:rsidRPr="00531C9F" w:rsidTr="00531C9F">
        <w:trPr>
          <w:tblCellSpacing w:w="15" w:type="dxa"/>
        </w:trPr>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rPr>
                <w:rFonts w:ascii="inherit" w:eastAsia="Times New Roman" w:hAnsi="inherit" w:cs="Times New Roman"/>
              </w:rPr>
            </w:pPr>
            <w:r w:rsidRPr="00531C9F">
              <w:rPr>
                <w:rFonts w:ascii="inherit" w:eastAsia="Times New Roman" w:hAnsi="inherit" w:cs="Times New Roman"/>
              </w:rPr>
              <w:t>AE20</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rPr>
                <w:rFonts w:ascii="inherit" w:eastAsia="Times New Roman" w:hAnsi="inherit" w:cs="Times New Roman"/>
              </w:rPr>
            </w:pPr>
            <w:r w:rsidRPr="00531C9F">
              <w:rPr>
                <w:rFonts w:ascii="inherit" w:eastAsia="Times New Roman" w:hAnsi="inherit" w:cs="Times New Roman"/>
              </w:rPr>
              <w:t>Промет по пореској стопи од 20% за који је порески дужник прималац</w:t>
            </w:r>
          </w:p>
        </w:tc>
      </w:tr>
      <w:tr w:rsidR="00531C9F" w:rsidRPr="00531C9F" w:rsidTr="00531C9F">
        <w:trPr>
          <w:tblCellSpacing w:w="15" w:type="dxa"/>
        </w:trPr>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rPr>
                <w:rFonts w:ascii="inherit" w:eastAsia="Times New Roman" w:hAnsi="inherit" w:cs="Times New Roman"/>
              </w:rPr>
            </w:pPr>
            <w:r w:rsidRPr="00531C9F">
              <w:rPr>
                <w:rFonts w:ascii="inherit" w:eastAsia="Times New Roman" w:hAnsi="inherit" w:cs="Times New Roman"/>
              </w:rPr>
              <w:t>PDV-RS-10-2-2</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rPr>
                <w:rFonts w:ascii="inherit" w:eastAsia="Times New Roman" w:hAnsi="inherit" w:cs="Times New Roman"/>
              </w:rPr>
            </w:pPr>
            <w:r w:rsidRPr="00531C9F">
              <w:rPr>
                <w:rFonts w:ascii="inherit" w:eastAsia="Times New Roman" w:hAnsi="inherit" w:cs="Times New Roman"/>
              </w:rPr>
              <w:t>Промет грађевинских објеката и економски дељивих целина у оквиру тих објеката, укључујући и власничке уделе на тим добрима, извршен од стране обвезника ПДВ другом обвезнику ПДВ, у случају када је уговором на основу којег се врши промет тих добара предвиђено да ће се на тај промет обрачунати ПДВ у складу са ЗПДВ, за који је порески дужник прималац</w:t>
            </w:r>
          </w:p>
        </w:tc>
      </w:tr>
      <w:tr w:rsidR="00531C9F" w:rsidRPr="00531C9F" w:rsidTr="00531C9F">
        <w:trPr>
          <w:tblCellSpacing w:w="15" w:type="dxa"/>
        </w:trPr>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rPr>
                <w:rFonts w:ascii="inherit" w:eastAsia="Times New Roman" w:hAnsi="inherit" w:cs="Times New Roman"/>
              </w:rPr>
            </w:pPr>
            <w:r w:rsidRPr="00531C9F">
              <w:rPr>
                <w:rFonts w:ascii="inherit" w:eastAsia="Times New Roman" w:hAnsi="inherit" w:cs="Times New Roman"/>
              </w:rPr>
              <w:t>PDV-RS-10-2-5-1</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rPr>
                <w:rFonts w:ascii="inherit" w:eastAsia="Times New Roman" w:hAnsi="inherit" w:cs="Times New Roman"/>
              </w:rPr>
            </w:pPr>
            <w:r w:rsidRPr="00531C9F">
              <w:rPr>
                <w:rFonts w:ascii="inherit" w:eastAsia="Times New Roman" w:hAnsi="inherit" w:cs="Times New Roman"/>
              </w:rPr>
              <w:t>Промет хипотековане непокретности код реализације хипотеке у складу са законом којим се уређује хипотека, извршен од стране обвезника ПДВ, за који је порески дужник прималац, обвезник ПДВ</w:t>
            </w:r>
          </w:p>
        </w:tc>
      </w:tr>
      <w:tr w:rsidR="00531C9F" w:rsidRPr="00531C9F" w:rsidTr="00531C9F">
        <w:trPr>
          <w:tblCellSpacing w:w="15" w:type="dxa"/>
        </w:trPr>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rPr>
                <w:rFonts w:ascii="inherit" w:eastAsia="Times New Roman" w:hAnsi="inherit" w:cs="Times New Roman"/>
              </w:rPr>
            </w:pPr>
            <w:r w:rsidRPr="00531C9F">
              <w:rPr>
                <w:rFonts w:ascii="inherit" w:eastAsia="Times New Roman" w:hAnsi="inherit" w:cs="Times New Roman"/>
              </w:rPr>
              <w:t>PDV-RS-</w:t>
            </w:r>
            <w:r w:rsidRPr="00531C9F">
              <w:rPr>
                <w:rFonts w:ascii="inherit" w:eastAsia="Times New Roman" w:hAnsi="inherit" w:cs="Times New Roman"/>
              </w:rPr>
              <w:lastRenderedPageBreak/>
              <w:t>10-2-5-3-OBJ</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rPr>
                <w:rFonts w:ascii="inherit" w:eastAsia="Times New Roman" w:hAnsi="inherit" w:cs="Times New Roman"/>
              </w:rPr>
            </w:pPr>
            <w:r w:rsidRPr="00531C9F">
              <w:rPr>
                <w:rFonts w:ascii="inherit" w:eastAsia="Times New Roman" w:hAnsi="inherit" w:cs="Times New Roman"/>
              </w:rPr>
              <w:lastRenderedPageBreak/>
              <w:t xml:space="preserve">Први пренос права располагања на новоизграђеним грађевинским објектима, економски </w:t>
            </w:r>
            <w:r w:rsidRPr="00531C9F">
              <w:rPr>
                <w:rFonts w:ascii="inherit" w:eastAsia="Times New Roman" w:hAnsi="inherit" w:cs="Times New Roman"/>
              </w:rPr>
              <w:lastRenderedPageBreak/>
              <w:t>дељивих целина у оквиру тих објеката и власничких удела на тим добрима, који су предмет извршења у извршном поступку у складу са законом, извршен од стране обвезника ПДВ, за који је порески дужник прималац, обвезник ПДВ</w:t>
            </w:r>
          </w:p>
        </w:tc>
      </w:tr>
      <w:tr w:rsidR="00531C9F" w:rsidRPr="00531C9F" w:rsidTr="00531C9F">
        <w:trPr>
          <w:tblCellSpacing w:w="15" w:type="dxa"/>
        </w:trPr>
        <w:tc>
          <w:tcPr>
            <w:tcW w:w="0" w:type="auto"/>
            <w:gridSpan w:val="3"/>
            <w:tcBorders>
              <w:top w:val="nil"/>
              <w:left w:val="nil"/>
              <w:bottom w:val="nil"/>
              <w:right w:val="nil"/>
            </w:tcBorders>
            <w:shd w:val="clear" w:color="auto" w:fill="FFFFFF"/>
            <w:tcMar>
              <w:top w:w="120" w:type="dxa"/>
              <w:left w:w="150" w:type="dxa"/>
              <w:bottom w:w="120" w:type="dxa"/>
              <w:right w:w="150" w:type="dxa"/>
            </w:tcMar>
            <w:vAlign w:val="bottom"/>
            <w:hideMark/>
          </w:tcPr>
          <w:p w:rsidR="00531C9F" w:rsidRPr="00531C9F" w:rsidRDefault="00531C9F" w:rsidP="00531C9F">
            <w:pPr>
              <w:spacing w:after="0" w:line="240" w:lineRule="auto"/>
              <w:jc w:val="center"/>
              <w:rPr>
                <w:rFonts w:ascii="inherit" w:eastAsia="Times New Roman" w:hAnsi="inherit" w:cs="Times New Roman"/>
              </w:rPr>
            </w:pPr>
          </w:p>
        </w:tc>
      </w:tr>
      <w:tr w:rsidR="00531C9F" w:rsidRPr="00531C9F" w:rsidTr="00531C9F">
        <w:trPr>
          <w:tblCellSpacing w:w="15" w:type="dxa"/>
        </w:trPr>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rPr>
                <w:rFonts w:ascii="inherit" w:eastAsia="Times New Roman" w:hAnsi="inherit" w:cs="Times New Roman"/>
              </w:rPr>
            </w:pPr>
            <w:r w:rsidRPr="00531C9F">
              <w:rPr>
                <w:rFonts w:ascii="inherit" w:eastAsia="Times New Roman" w:hAnsi="inherit" w:cs="Times New Roman"/>
              </w:rPr>
              <w:t>E</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rPr>
                <w:rFonts w:ascii="inherit" w:eastAsia="Times New Roman" w:hAnsi="inherit" w:cs="Times New Roman"/>
              </w:rPr>
            </w:pPr>
            <w:r w:rsidRPr="00531C9F">
              <w:rPr>
                <w:rFonts w:ascii="inherit" w:eastAsia="Times New Roman" w:hAnsi="inherit" w:cs="Times New Roman"/>
              </w:rPr>
              <w:t>Пореско ослобођење без права на одбитак претходног пореза</w:t>
            </w:r>
          </w:p>
        </w:tc>
      </w:tr>
      <w:tr w:rsidR="00531C9F" w:rsidRPr="00531C9F" w:rsidTr="00531C9F">
        <w:trPr>
          <w:tblCellSpacing w:w="15" w:type="dxa"/>
        </w:trPr>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rPr>
                <w:rFonts w:ascii="inherit" w:eastAsia="Times New Roman" w:hAnsi="inherit" w:cs="Times New Roman"/>
              </w:rPr>
            </w:pPr>
            <w:r w:rsidRPr="00531C9F">
              <w:rPr>
                <w:rFonts w:ascii="inherit" w:eastAsia="Times New Roman" w:hAnsi="inherit" w:cs="Times New Roman"/>
              </w:rPr>
              <w:t>PDV-RS-25-2-3</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rPr>
                <w:rFonts w:ascii="inherit" w:eastAsia="Times New Roman" w:hAnsi="inherit" w:cs="Times New Roman"/>
              </w:rPr>
            </w:pPr>
            <w:r w:rsidRPr="00531C9F">
              <w:rPr>
                <w:rFonts w:ascii="inherit" w:eastAsia="Times New Roman" w:hAnsi="inherit" w:cs="Times New Roman"/>
              </w:rPr>
              <w:t>Промет објеката, осим првог преноса права располагања на новоизграђеним грађевиснким објектима или економски дељивим целинама у оквиру тих објеката и првог преноса власничког удела на новоизграђеним грађевинским објектима или економски дељивим целинама у оквиру тих објеката, као и промета објеката и економски дељивих целина у оквиру тих објеката, укључујући и власничке уделе на тим добрима, у случају када је уговором на основу којег се врши промет тих добара, закљученим између обвезника ПДВ, предвиђено да ће се на тај промет обрачунати ПДВ, под условом да стицалац обрачунати ПДВ може у потпуности одбити као претходни порез.</w:t>
            </w:r>
          </w:p>
        </w:tc>
      </w:tr>
    </w:tbl>
    <w:p w:rsidR="00531C9F" w:rsidRPr="00531C9F" w:rsidRDefault="00531C9F" w:rsidP="00531C9F">
      <w:pPr>
        <w:shd w:val="clear" w:color="auto" w:fill="FFFFFF"/>
        <w:spacing w:after="0" w:line="240" w:lineRule="auto"/>
        <w:textAlignment w:val="baseline"/>
        <w:outlineLvl w:val="3"/>
        <w:rPr>
          <w:rFonts w:ascii="Helvetica" w:eastAsia="Times New Roman" w:hAnsi="Helvetica" w:cs="Helvetica"/>
          <w:b/>
          <w:bCs/>
          <w:color w:val="D23232"/>
          <w:sz w:val="33"/>
          <w:szCs w:val="33"/>
        </w:rPr>
      </w:pPr>
      <w:r w:rsidRPr="00531C9F">
        <w:rPr>
          <w:rFonts w:ascii="inherit" w:eastAsia="Times New Roman" w:hAnsi="inherit" w:cs="Helvetica"/>
          <w:b/>
          <w:bCs/>
          <w:color w:val="D23232"/>
          <w:sz w:val="33"/>
          <w:szCs w:val="33"/>
          <w:bdr w:val="none" w:sz="0" w:space="0" w:color="auto" w:frame="1"/>
        </w:rPr>
        <w:t>3. ИЗМЕНЕ У СЕКЦИЈИ „ДАТУМ ОБРАЧУНА ПДВ-А“</w:t>
      </w:r>
    </w:p>
    <w:p w:rsidR="00531C9F" w:rsidRPr="00531C9F" w:rsidRDefault="00531C9F" w:rsidP="00531C9F">
      <w:pPr>
        <w:shd w:val="clear" w:color="auto" w:fill="FFFFFF"/>
        <w:spacing w:after="450" w:line="240" w:lineRule="auto"/>
        <w:textAlignment w:val="baseline"/>
        <w:rPr>
          <w:rFonts w:ascii="Helvetica" w:eastAsia="Times New Roman" w:hAnsi="Helvetica" w:cs="Helvetica"/>
          <w:color w:val="333333"/>
          <w:sz w:val="27"/>
          <w:szCs w:val="27"/>
        </w:rPr>
      </w:pPr>
      <w:r w:rsidRPr="00531C9F">
        <w:rPr>
          <w:rFonts w:ascii="Helvetica" w:eastAsia="Times New Roman" w:hAnsi="Helvetica" w:cs="Helvetica"/>
          <w:color w:val="333333"/>
          <w:sz w:val="27"/>
          <w:szCs w:val="27"/>
        </w:rPr>
        <w:t>На корисничком интерфејсу назив секције „Датум обрачуна ПДВ-а“ мења се у „Настанак ПДВ обавезе“.</w:t>
      </w:r>
    </w:p>
    <w:p w:rsidR="00531C9F" w:rsidRPr="00531C9F" w:rsidRDefault="00531C9F" w:rsidP="00531C9F">
      <w:pPr>
        <w:shd w:val="clear" w:color="auto" w:fill="FFFFFF"/>
        <w:spacing w:after="450" w:line="240" w:lineRule="auto"/>
        <w:textAlignment w:val="baseline"/>
        <w:rPr>
          <w:rFonts w:ascii="Helvetica" w:eastAsia="Times New Roman" w:hAnsi="Helvetica" w:cs="Helvetica"/>
          <w:color w:val="333333"/>
          <w:sz w:val="27"/>
          <w:szCs w:val="27"/>
        </w:rPr>
      </w:pPr>
      <w:r w:rsidRPr="00531C9F">
        <w:rPr>
          <w:rFonts w:ascii="Helvetica" w:eastAsia="Times New Roman" w:hAnsi="Helvetica" w:cs="Helvetica"/>
          <w:color w:val="333333"/>
          <w:sz w:val="27"/>
          <w:szCs w:val="27"/>
        </w:rPr>
        <w:t>Због измена у секцији „Датум обрачуна ПДВ-а“ неопходна је измена Спецификације прилагођене примене стандарда EN 16931-1 за електронске фактуре у унутрашњем промету у Републици Србији, тако што ће за идентификатор термина BT-8 Шифра датума пореске обавезе кардиналност бити 0..1. Измена спецификације прилагођене примене стандарда EN 16931-1 је неопходна због увођења нове опције – „Не настаје обавеза обрачуна ПДВ“, за тип документа фактура, авансна фактура и документ и повећању.</w:t>
      </w:r>
    </w:p>
    <w:p w:rsidR="00531C9F" w:rsidRPr="00531C9F" w:rsidRDefault="00531C9F" w:rsidP="00531C9F">
      <w:pPr>
        <w:shd w:val="clear" w:color="auto" w:fill="FFFFFF"/>
        <w:spacing w:after="0" w:line="240" w:lineRule="auto"/>
        <w:textAlignment w:val="baseline"/>
        <w:outlineLvl w:val="4"/>
        <w:rPr>
          <w:rFonts w:ascii="Helvetica" w:eastAsia="Times New Roman" w:hAnsi="Helvetica" w:cs="Helvetica"/>
          <w:b/>
          <w:bCs/>
          <w:color w:val="D23232"/>
          <w:sz w:val="30"/>
          <w:szCs w:val="30"/>
        </w:rPr>
      </w:pPr>
      <w:r w:rsidRPr="00531C9F">
        <w:rPr>
          <w:rFonts w:ascii="inherit" w:eastAsia="Times New Roman" w:hAnsi="inherit" w:cs="Helvetica"/>
          <w:b/>
          <w:bCs/>
          <w:color w:val="D23232"/>
          <w:sz w:val="30"/>
          <w:szCs w:val="30"/>
          <w:bdr w:val="none" w:sz="0" w:space="0" w:color="auto" w:frame="1"/>
        </w:rPr>
        <w:t>3.1. Измена за тип документа – Фактура</w:t>
      </w:r>
    </w:p>
    <w:p w:rsidR="00531C9F" w:rsidRPr="00531C9F" w:rsidRDefault="00531C9F" w:rsidP="00531C9F">
      <w:pPr>
        <w:shd w:val="clear" w:color="auto" w:fill="FFFFFF"/>
        <w:spacing w:after="450" w:line="240" w:lineRule="auto"/>
        <w:textAlignment w:val="baseline"/>
        <w:rPr>
          <w:rFonts w:ascii="Helvetica" w:eastAsia="Times New Roman" w:hAnsi="Helvetica" w:cs="Helvetica"/>
          <w:color w:val="333333"/>
          <w:sz w:val="27"/>
          <w:szCs w:val="27"/>
        </w:rPr>
      </w:pPr>
      <w:r w:rsidRPr="00531C9F">
        <w:rPr>
          <w:rFonts w:ascii="Helvetica" w:eastAsia="Times New Roman" w:hAnsi="Helvetica" w:cs="Helvetica"/>
          <w:color w:val="333333"/>
          <w:sz w:val="27"/>
          <w:szCs w:val="27"/>
        </w:rPr>
        <w:t>На корисничком интерфејсу, у секцији „Настанак ПДВ обавезе“, у падајућем менију корисник има следеће опције за одабир:</w:t>
      </w:r>
    </w:p>
    <w:p w:rsidR="00531C9F" w:rsidRPr="00531C9F" w:rsidRDefault="00531C9F" w:rsidP="00531C9F">
      <w:pPr>
        <w:numPr>
          <w:ilvl w:val="0"/>
          <w:numId w:val="1"/>
        </w:numPr>
        <w:shd w:val="clear" w:color="auto" w:fill="FFFFFF"/>
        <w:spacing w:after="0" w:line="240" w:lineRule="auto"/>
        <w:ind w:left="300"/>
        <w:textAlignment w:val="baseline"/>
        <w:rPr>
          <w:rFonts w:ascii="inherit" w:eastAsia="Times New Roman" w:hAnsi="inherit" w:cs="Helvetica"/>
          <w:color w:val="333333"/>
          <w:sz w:val="27"/>
          <w:szCs w:val="27"/>
        </w:rPr>
      </w:pPr>
      <w:r w:rsidRPr="00531C9F">
        <w:rPr>
          <w:rFonts w:ascii="inherit" w:eastAsia="Times New Roman" w:hAnsi="inherit" w:cs="Helvetica"/>
          <w:color w:val="333333"/>
          <w:sz w:val="27"/>
          <w:szCs w:val="27"/>
          <w:u w:val="single"/>
          <w:bdr w:val="none" w:sz="0" w:space="0" w:color="auto" w:frame="1"/>
        </w:rPr>
        <w:t>Датум промета</w:t>
      </w:r>
      <w:r w:rsidRPr="00531C9F">
        <w:rPr>
          <w:rFonts w:ascii="inherit" w:eastAsia="Times New Roman" w:hAnsi="inherit" w:cs="Helvetica"/>
          <w:color w:val="333333"/>
          <w:sz w:val="27"/>
          <w:szCs w:val="27"/>
        </w:rPr>
        <w:t> – Дан настанка ПДВ обавезе је датум промета</w:t>
      </w:r>
    </w:p>
    <w:p w:rsidR="00531C9F" w:rsidRPr="00531C9F" w:rsidRDefault="00531C9F" w:rsidP="00531C9F">
      <w:pPr>
        <w:numPr>
          <w:ilvl w:val="0"/>
          <w:numId w:val="1"/>
        </w:numPr>
        <w:shd w:val="clear" w:color="auto" w:fill="FFFFFF"/>
        <w:spacing w:after="0" w:line="240" w:lineRule="auto"/>
        <w:ind w:left="300"/>
        <w:textAlignment w:val="baseline"/>
        <w:rPr>
          <w:rFonts w:ascii="inherit" w:eastAsia="Times New Roman" w:hAnsi="inherit" w:cs="Helvetica"/>
          <w:color w:val="333333"/>
          <w:sz w:val="27"/>
          <w:szCs w:val="27"/>
        </w:rPr>
      </w:pPr>
      <w:r w:rsidRPr="00531C9F">
        <w:rPr>
          <w:rFonts w:ascii="inherit" w:eastAsia="Times New Roman" w:hAnsi="inherit" w:cs="Helvetica"/>
          <w:color w:val="333333"/>
          <w:sz w:val="27"/>
          <w:szCs w:val="27"/>
          <w:u w:val="single"/>
          <w:bdr w:val="none" w:sz="0" w:space="0" w:color="auto" w:frame="1"/>
        </w:rPr>
        <w:t>Члан 16. тачка 2а) ЗПДВ</w:t>
      </w:r>
      <w:r w:rsidRPr="00531C9F">
        <w:rPr>
          <w:rFonts w:ascii="inherit" w:eastAsia="Times New Roman" w:hAnsi="inherit" w:cs="Helvetica"/>
          <w:color w:val="333333"/>
          <w:sz w:val="27"/>
          <w:szCs w:val="27"/>
        </w:rPr>
        <w:t> – Дан настанка ПДВ обавезе је датум издавања рачуна у складу са чланом 16. тачка 2а) ЗПДВ.</w:t>
      </w:r>
    </w:p>
    <w:p w:rsidR="00531C9F" w:rsidRPr="00531C9F" w:rsidRDefault="00531C9F" w:rsidP="00531C9F">
      <w:pPr>
        <w:numPr>
          <w:ilvl w:val="0"/>
          <w:numId w:val="1"/>
        </w:numPr>
        <w:shd w:val="clear" w:color="auto" w:fill="FFFFFF"/>
        <w:spacing w:after="0" w:line="240" w:lineRule="auto"/>
        <w:ind w:left="300"/>
        <w:textAlignment w:val="baseline"/>
        <w:rPr>
          <w:rFonts w:ascii="inherit" w:eastAsia="Times New Roman" w:hAnsi="inherit" w:cs="Helvetica"/>
          <w:color w:val="333333"/>
          <w:sz w:val="27"/>
          <w:szCs w:val="27"/>
        </w:rPr>
      </w:pPr>
      <w:r w:rsidRPr="00531C9F">
        <w:rPr>
          <w:rFonts w:ascii="inherit" w:eastAsia="Times New Roman" w:hAnsi="inherit" w:cs="Helvetica"/>
          <w:color w:val="333333"/>
          <w:sz w:val="27"/>
          <w:szCs w:val="27"/>
          <w:u w:val="single"/>
          <w:bdr w:val="none" w:sz="0" w:space="0" w:color="auto" w:frame="1"/>
        </w:rPr>
        <w:t>Члан 36а ЗПДВ</w:t>
      </w:r>
      <w:r w:rsidRPr="00531C9F">
        <w:rPr>
          <w:rFonts w:ascii="inherit" w:eastAsia="Times New Roman" w:hAnsi="inherit" w:cs="Helvetica"/>
          <w:color w:val="333333"/>
          <w:sz w:val="27"/>
          <w:szCs w:val="27"/>
        </w:rPr>
        <w:t> – Дан настанка ПДВ обавезе је датум наплате, односно други датум у складу са чланом 36а ЗПДВ.</w:t>
      </w:r>
    </w:p>
    <w:p w:rsidR="00531C9F" w:rsidRPr="00531C9F" w:rsidRDefault="00531C9F" w:rsidP="00531C9F">
      <w:pPr>
        <w:numPr>
          <w:ilvl w:val="0"/>
          <w:numId w:val="1"/>
        </w:numPr>
        <w:shd w:val="clear" w:color="auto" w:fill="FFFFFF"/>
        <w:spacing w:after="0" w:line="240" w:lineRule="auto"/>
        <w:ind w:left="300"/>
        <w:textAlignment w:val="baseline"/>
        <w:rPr>
          <w:rFonts w:ascii="inherit" w:eastAsia="Times New Roman" w:hAnsi="inherit" w:cs="Helvetica"/>
          <w:color w:val="333333"/>
          <w:sz w:val="27"/>
          <w:szCs w:val="27"/>
        </w:rPr>
      </w:pPr>
      <w:r w:rsidRPr="00531C9F">
        <w:rPr>
          <w:rFonts w:ascii="inherit" w:eastAsia="Times New Roman" w:hAnsi="inherit" w:cs="Helvetica"/>
          <w:color w:val="333333"/>
          <w:sz w:val="27"/>
          <w:szCs w:val="27"/>
          <w:u w:val="single"/>
          <w:bdr w:val="none" w:sz="0" w:space="0" w:color="auto" w:frame="1"/>
        </w:rPr>
        <w:t>Не настаје обавеза обрачуна ПДВ</w:t>
      </w:r>
      <w:r w:rsidRPr="00531C9F">
        <w:rPr>
          <w:rFonts w:ascii="inherit" w:eastAsia="Times New Roman" w:hAnsi="inherit" w:cs="Helvetica"/>
          <w:color w:val="333333"/>
          <w:sz w:val="27"/>
          <w:szCs w:val="27"/>
        </w:rPr>
        <w:t> – За издаваоца фактуре не настаје обавеза обрачуна ПДВ (нпр.реч је о промету за који издавалац није порески дужник, промету за који је прописано пореско ослобођење и др.) – нова опција.</w:t>
      </w:r>
    </w:p>
    <w:p w:rsidR="00531C9F" w:rsidRPr="00531C9F" w:rsidRDefault="00531C9F" w:rsidP="00531C9F">
      <w:pPr>
        <w:shd w:val="clear" w:color="auto" w:fill="FFFFFF"/>
        <w:spacing w:after="0" w:line="240" w:lineRule="auto"/>
        <w:textAlignment w:val="baseline"/>
        <w:rPr>
          <w:rFonts w:ascii="Helvetica" w:eastAsia="Times New Roman" w:hAnsi="Helvetica" w:cs="Helvetica"/>
          <w:color w:val="333333"/>
          <w:sz w:val="27"/>
          <w:szCs w:val="27"/>
        </w:rPr>
      </w:pPr>
      <w:r w:rsidRPr="00531C9F">
        <w:rPr>
          <w:rFonts w:ascii="inherit" w:eastAsia="Times New Roman" w:hAnsi="inherit" w:cs="Helvetica"/>
          <w:noProof/>
          <w:color w:val="D23232"/>
          <w:sz w:val="27"/>
          <w:szCs w:val="27"/>
          <w:bdr w:val="none" w:sz="0" w:space="0" w:color="auto" w:frame="1"/>
        </w:rPr>
        <w:lastRenderedPageBreak/>
        <w:drawing>
          <wp:inline distT="0" distB="0" distL="0" distR="0" wp14:anchorId="0F28F8EC" wp14:editId="31E22876">
            <wp:extent cx="5717540" cy="2743200"/>
            <wp:effectExtent l="0" t="0" r="0" b="0"/>
            <wp:docPr id="1" name="Picture 1" descr="https://www.neobilten.com/wp-content/uploads/2024/07/predlozena-unapredjenja-SEF-slika-1.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neobilten.com/wp-content/uploads/2024/07/predlozena-unapredjenja-SEF-slika-1.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17540" cy="2743200"/>
                    </a:xfrm>
                    <a:prstGeom prst="rect">
                      <a:avLst/>
                    </a:prstGeom>
                    <a:noFill/>
                    <a:ln>
                      <a:noFill/>
                    </a:ln>
                  </pic:spPr>
                </pic:pic>
              </a:graphicData>
            </a:graphic>
          </wp:inline>
        </w:drawing>
      </w:r>
    </w:p>
    <w:p w:rsidR="00531C9F" w:rsidRPr="00531C9F" w:rsidRDefault="00531C9F" w:rsidP="00531C9F">
      <w:pPr>
        <w:shd w:val="clear" w:color="auto" w:fill="FFFFFF"/>
        <w:spacing w:after="0" w:line="240" w:lineRule="auto"/>
        <w:textAlignment w:val="baseline"/>
        <w:outlineLvl w:val="4"/>
        <w:rPr>
          <w:rFonts w:ascii="Helvetica" w:eastAsia="Times New Roman" w:hAnsi="Helvetica" w:cs="Helvetica"/>
          <w:b/>
          <w:bCs/>
          <w:color w:val="D23232"/>
          <w:sz w:val="30"/>
          <w:szCs w:val="30"/>
        </w:rPr>
      </w:pPr>
      <w:r w:rsidRPr="00531C9F">
        <w:rPr>
          <w:rFonts w:ascii="inherit" w:eastAsia="Times New Roman" w:hAnsi="inherit" w:cs="Helvetica"/>
          <w:b/>
          <w:bCs/>
          <w:color w:val="D23232"/>
          <w:sz w:val="30"/>
          <w:szCs w:val="30"/>
          <w:bdr w:val="none" w:sz="0" w:space="0" w:color="auto" w:frame="1"/>
        </w:rPr>
        <w:t>3.2. Измене за тип документа – Авансна фактура</w:t>
      </w:r>
    </w:p>
    <w:p w:rsidR="00531C9F" w:rsidRPr="00531C9F" w:rsidRDefault="00531C9F" w:rsidP="00531C9F">
      <w:pPr>
        <w:shd w:val="clear" w:color="auto" w:fill="FFFFFF"/>
        <w:spacing w:after="450" w:line="240" w:lineRule="auto"/>
        <w:textAlignment w:val="baseline"/>
        <w:rPr>
          <w:rFonts w:ascii="Helvetica" w:eastAsia="Times New Roman" w:hAnsi="Helvetica" w:cs="Helvetica"/>
          <w:color w:val="333333"/>
          <w:sz w:val="27"/>
          <w:szCs w:val="27"/>
        </w:rPr>
      </w:pPr>
      <w:r w:rsidRPr="00531C9F">
        <w:rPr>
          <w:rFonts w:ascii="Helvetica" w:eastAsia="Times New Roman" w:hAnsi="Helvetica" w:cs="Helvetica"/>
          <w:color w:val="333333"/>
          <w:sz w:val="27"/>
          <w:szCs w:val="27"/>
        </w:rPr>
        <w:t>На корисничком интерфејсу, у секцији „Настанак ПДВ обавезе“, у падајућем менију корисник има следеће опције за одабир:</w:t>
      </w:r>
    </w:p>
    <w:p w:rsidR="00531C9F" w:rsidRPr="00531C9F" w:rsidRDefault="00531C9F" w:rsidP="00531C9F">
      <w:pPr>
        <w:numPr>
          <w:ilvl w:val="0"/>
          <w:numId w:val="2"/>
        </w:numPr>
        <w:shd w:val="clear" w:color="auto" w:fill="FFFFFF"/>
        <w:spacing w:after="0" w:line="240" w:lineRule="auto"/>
        <w:ind w:left="300"/>
        <w:textAlignment w:val="baseline"/>
        <w:rPr>
          <w:rFonts w:ascii="inherit" w:eastAsia="Times New Roman" w:hAnsi="inherit" w:cs="Helvetica"/>
          <w:color w:val="333333"/>
          <w:sz w:val="27"/>
          <w:szCs w:val="27"/>
        </w:rPr>
      </w:pPr>
      <w:r w:rsidRPr="00531C9F">
        <w:rPr>
          <w:rFonts w:ascii="inherit" w:eastAsia="Times New Roman" w:hAnsi="inherit" w:cs="Helvetica"/>
          <w:color w:val="333333"/>
          <w:sz w:val="27"/>
          <w:szCs w:val="27"/>
          <w:u w:val="single"/>
          <w:bdr w:val="none" w:sz="0" w:space="0" w:color="auto" w:frame="1"/>
        </w:rPr>
        <w:t>Датум аванса</w:t>
      </w:r>
      <w:r w:rsidRPr="00531C9F">
        <w:rPr>
          <w:rFonts w:ascii="inherit" w:eastAsia="Times New Roman" w:hAnsi="inherit" w:cs="Helvetica"/>
          <w:color w:val="333333"/>
          <w:sz w:val="27"/>
          <w:szCs w:val="27"/>
        </w:rPr>
        <w:t> – Дан настанка ПДВ обавезе је датум наплате аванса. Ова опција одговора садашњој опцији „ПДВ се обрачунава на дан плаћања“, тако да је само урађено преименовање на корисничком интерфејсу.</w:t>
      </w:r>
    </w:p>
    <w:p w:rsidR="00531C9F" w:rsidRPr="00531C9F" w:rsidRDefault="00531C9F" w:rsidP="00531C9F">
      <w:pPr>
        <w:numPr>
          <w:ilvl w:val="0"/>
          <w:numId w:val="2"/>
        </w:numPr>
        <w:shd w:val="clear" w:color="auto" w:fill="FFFFFF"/>
        <w:spacing w:after="0" w:line="240" w:lineRule="auto"/>
        <w:ind w:left="300"/>
        <w:textAlignment w:val="baseline"/>
        <w:rPr>
          <w:rFonts w:ascii="inherit" w:eastAsia="Times New Roman" w:hAnsi="inherit" w:cs="Helvetica"/>
          <w:color w:val="333333"/>
          <w:sz w:val="27"/>
          <w:szCs w:val="27"/>
        </w:rPr>
      </w:pPr>
      <w:r w:rsidRPr="00531C9F">
        <w:rPr>
          <w:rFonts w:ascii="inherit" w:eastAsia="Times New Roman" w:hAnsi="inherit" w:cs="Helvetica"/>
          <w:color w:val="333333"/>
          <w:sz w:val="27"/>
          <w:szCs w:val="27"/>
          <w:u w:val="single"/>
          <w:bdr w:val="none" w:sz="0" w:space="0" w:color="auto" w:frame="1"/>
        </w:rPr>
        <w:t>Не настаје обавеза обрачуна ПДВ</w:t>
      </w:r>
      <w:r w:rsidRPr="00531C9F">
        <w:rPr>
          <w:rFonts w:ascii="inherit" w:eastAsia="Times New Roman" w:hAnsi="inherit" w:cs="Helvetica"/>
          <w:color w:val="333333"/>
          <w:sz w:val="27"/>
          <w:szCs w:val="27"/>
        </w:rPr>
        <w:t> – За издаваоца авансне фактуре не настаје обавеза обрачуна ПДВ по основу наплате аванса (нпр. реч је о авансу за промет за који издавалац није порески дужник, авансу за промет за који је прописано пореско ослобођење и др.) – нова опција.</w:t>
      </w:r>
    </w:p>
    <w:p w:rsidR="00531C9F" w:rsidRPr="00531C9F" w:rsidRDefault="00531C9F" w:rsidP="00531C9F">
      <w:pPr>
        <w:shd w:val="clear" w:color="auto" w:fill="FFFFFF"/>
        <w:spacing w:after="0" w:line="240" w:lineRule="auto"/>
        <w:textAlignment w:val="baseline"/>
        <w:rPr>
          <w:rFonts w:ascii="Helvetica" w:eastAsia="Times New Roman" w:hAnsi="Helvetica" w:cs="Helvetica"/>
          <w:color w:val="333333"/>
          <w:sz w:val="27"/>
          <w:szCs w:val="27"/>
        </w:rPr>
      </w:pPr>
      <w:r w:rsidRPr="00531C9F">
        <w:rPr>
          <w:rFonts w:ascii="inherit" w:eastAsia="Times New Roman" w:hAnsi="inherit" w:cs="Helvetica"/>
          <w:noProof/>
          <w:color w:val="D23232"/>
          <w:sz w:val="27"/>
          <w:szCs w:val="27"/>
          <w:bdr w:val="none" w:sz="0" w:space="0" w:color="auto" w:frame="1"/>
        </w:rPr>
        <w:drawing>
          <wp:inline distT="0" distB="0" distL="0" distR="0" wp14:anchorId="6EA36CF9" wp14:editId="0E98779C">
            <wp:extent cx="5728970" cy="2489835"/>
            <wp:effectExtent l="0" t="0" r="5080" b="5715"/>
            <wp:docPr id="2" name="Picture 2" descr="https://www.neobilten.com/wp-content/uploads/2024/07/predlozena-unapredjenja-SEF-slika-2.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neobilten.com/wp-content/uploads/2024/07/predlozena-unapredjenja-SEF-slika-2.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28970" cy="2489835"/>
                    </a:xfrm>
                    <a:prstGeom prst="rect">
                      <a:avLst/>
                    </a:prstGeom>
                    <a:noFill/>
                    <a:ln>
                      <a:noFill/>
                    </a:ln>
                  </pic:spPr>
                </pic:pic>
              </a:graphicData>
            </a:graphic>
          </wp:inline>
        </w:drawing>
      </w:r>
    </w:p>
    <w:p w:rsidR="00531C9F" w:rsidRPr="00531C9F" w:rsidRDefault="00531C9F" w:rsidP="00531C9F">
      <w:pPr>
        <w:shd w:val="clear" w:color="auto" w:fill="FFFFFF"/>
        <w:spacing w:after="0" w:line="240" w:lineRule="auto"/>
        <w:textAlignment w:val="baseline"/>
        <w:outlineLvl w:val="4"/>
        <w:rPr>
          <w:rFonts w:ascii="Helvetica" w:eastAsia="Times New Roman" w:hAnsi="Helvetica" w:cs="Helvetica"/>
          <w:b/>
          <w:bCs/>
          <w:color w:val="D23232"/>
          <w:sz w:val="30"/>
          <w:szCs w:val="30"/>
        </w:rPr>
      </w:pPr>
      <w:r w:rsidRPr="00531C9F">
        <w:rPr>
          <w:rFonts w:ascii="inherit" w:eastAsia="Times New Roman" w:hAnsi="inherit" w:cs="Helvetica"/>
          <w:b/>
          <w:bCs/>
          <w:color w:val="D23232"/>
          <w:sz w:val="30"/>
          <w:szCs w:val="30"/>
          <w:bdr w:val="none" w:sz="0" w:space="0" w:color="auto" w:frame="1"/>
        </w:rPr>
        <w:t>3.3. Измене за тип документа – Документ о повећању</w:t>
      </w:r>
    </w:p>
    <w:p w:rsidR="00531C9F" w:rsidRPr="00531C9F" w:rsidRDefault="00531C9F" w:rsidP="00531C9F">
      <w:pPr>
        <w:shd w:val="clear" w:color="auto" w:fill="FFFFFF"/>
        <w:spacing w:after="450" w:line="240" w:lineRule="auto"/>
        <w:textAlignment w:val="baseline"/>
        <w:rPr>
          <w:rFonts w:ascii="Helvetica" w:eastAsia="Times New Roman" w:hAnsi="Helvetica" w:cs="Helvetica"/>
          <w:color w:val="333333"/>
          <w:sz w:val="27"/>
          <w:szCs w:val="27"/>
        </w:rPr>
      </w:pPr>
      <w:r w:rsidRPr="00531C9F">
        <w:rPr>
          <w:rFonts w:ascii="Helvetica" w:eastAsia="Times New Roman" w:hAnsi="Helvetica" w:cs="Helvetica"/>
          <w:color w:val="333333"/>
          <w:sz w:val="27"/>
          <w:szCs w:val="27"/>
        </w:rPr>
        <w:t>На корисничком интерфејсу, у секцији „Настанак ПДВ обавезе“, у падајућем менију корисник има следеће опције за одабир:</w:t>
      </w:r>
    </w:p>
    <w:p w:rsidR="00531C9F" w:rsidRPr="00531C9F" w:rsidRDefault="00531C9F" w:rsidP="00531C9F">
      <w:pPr>
        <w:numPr>
          <w:ilvl w:val="0"/>
          <w:numId w:val="3"/>
        </w:numPr>
        <w:shd w:val="clear" w:color="auto" w:fill="FFFFFF"/>
        <w:spacing w:after="0" w:line="240" w:lineRule="auto"/>
        <w:ind w:left="300"/>
        <w:textAlignment w:val="baseline"/>
        <w:rPr>
          <w:rFonts w:ascii="inherit" w:eastAsia="Times New Roman" w:hAnsi="inherit" w:cs="Helvetica"/>
          <w:color w:val="333333"/>
          <w:sz w:val="27"/>
          <w:szCs w:val="27"/>
        </w:rPr>
      </w:pPr>
      <w:r w:rsidRPr="00531C9F">
        <w:rPr>
          <w:rFonts w:ascii="inherit" w:eastAsia="Times New Roman" w:hAnsi="inherit" w:cs="Helvetica"/>
          <w:color w:val="333333"/>
          <w:sz w:val="27"/>
          <w:szCs w:val="27"/>
          <w:u w:val="single"/>
          <w:bdr w:val="none" w:sz="0" w:space="0" w:color="auto" w:frame="1"/>
        </w:rPr>
        <w:lastRenderedPageBreak/>
        <w:t>Датум издавања – зарачунавање трошкова</w:t>
      </w:r>
      <w:r w:rsidRPr="00531C9F">
        <w:rPr>
          <w:rFonts w:ascii="inherit" w:eastAsia="Times New Roman" w:hAnsi="inherit" w:cs="Helvetica"/>
          <w:color w:val="333333"/>
          <w:sz w:val="27"/>
          <w:szCs w:val="27"/>
        </w:rPr>
        <w:t> – Дан настанка/повећања ПДВ обавезе је датум издавања документа о повећању којим се зарачунавају трошкови, а на основу којег долази до повећања основице за промет. Ова опција одговара садашњој опцији „Датум слања фактуре“, тако да је само урађено преименовање на корисничком интерфејсу.</w:t>
      </w:r>
    </w:p>
    <w:p w:rsidR="00531C9F" w:rsidRPr="00531C9F" w:rsidRDefault="00531C9F" w:rsidP="00531C9F">
      <w:pPr>
        <w:numPr>
          <w:ilvl w:val="0"/>
          <w:numId w:val="3"/>
        </w:numPr>
        <w:shd w:val="clear" w:color="auto" w:fill="FFFFFF"/>
        <w:spacing w:after="0" w:line="240" w:lineRule="auto"/>
        <w:ind w:left="300"/>
        <w:textAlignment w:val="baseline"/>
        <w:rPr>
          <w:rFonts w:ascii="inherit" w:eastAsia="Times New Roman" w:hAnsi="inherit" w:cs="Helvetica"/>
          <w:color w:val="333333"/>
          <w:sz w:val="27"/>
          <w:szCs w:val="27"/>
        </w:rPr>
      </w:pPr>
      <w:r w:rsidRPr="00531C9F">
        <w:rPr>
          <w:rFonts w:ascii="inherit" w:eastAsia="Times New Roman" w:hAnsi="inherit" w:cs="Helvetica"/>
          <w:color w:val="333333"/>
          <w:sz w:val="27"/>
          <w:szCs w:val="27"/>
          <w:u w:val="single"/>
          <w:bdr w:val="none" w:sz="0" w:space="0" w:color="auto" w:frame="1"/>
        </w:rPr>
        <w:t>Датум повећања – уговор</w:t>
      </w:r>
      <w:r w:rsidRPr="00531C9F">
        <w:rPr>
          <w:rFonts w:ascii="inherit" w:eastAsia="Times New Roman" w:hAnsi="inherit" w:cs="Helvetica"/>
          <w:color w:val="333333"/>
          <w:sz w:val="27"/>
          <w:szCs w:val="27"/>
        </w:rPr>
        <w:t> – Дан настанка/повећања ПДВ обавезе је датум када је у складу са уговором дошло до повећања основице за промет – нова опција.</w:t>
      </w:r>
    </w:p>
    <w:p w:rsidR="00531C9F" w:rsidRPr="00531C9F" w:rsidRDefault="00531C9F" w:rsidP="00531C9F">
      <w:pPr>
        <w:numPr>
          <w:ilvl w:val="0"/>
          <w:numId w:val="3"/>
        </w:numPr>
        <w:shd w:val="clear" w:color="auto" w:fill="FFFFFF"/>
        <w:spacing w:after="0" w:line="240" w:lineRule="auto"/>
        <w:ind w:left="300"/>
        <w:textAlignment w:val="baseline"/>
        <w:rPr>
          <w:rFonts w:ascii="inherit" w:eastAsia="Times New Roman" w:hAnsi="inherit" w:cs="Helvetica"/>
          <w:color w:val="333333"/>
          <w:sz w:val="27"/>
          <w:szCs w:val="27"/>
        </w:rPr>
      </w:pPr>
      <w:r w:rsidRPr="00531C9F">
        <w:rPr>
          <w:rFonts w:ascii="inherit" w:eastAsia="Times New Roman" w:hAnsi="inherit" w:cs="Helvetica"/>
          <w:color w:val="333333"/>
          <w:sz w:val="27"/>
          <w:szCs w:val="27"/>
          <w:u w:val="single"/>
          <w:bdr w:val="none" w:sz="0" w:space="0" w:color="auto" w:frame="1"/>
        </w:rPr>
        <w:t>Не настаје обавеза обрачуна ПДВ</w:t>
      </w:r>
      <w:r w:rsidRPr="00531C9F">
        <w:rPr>
          <w:rFonts w:ascii="inherit" w:eastAsia="Times New Roman" w:hAnsi="inherit" w:cs="Helvetica"/>
          <w:color w:val="333333"/>
          <w:sz w:val="27"/>
          <w:szCs w:val="27"/>
        </w:rPr>
        <w:t> – За издаваоца документа о повећању не настаје обавеза обрачуна ПДВ (нпр. реч је о документу о повећању за промет за који издавалац није порески дужник, документу о повећању за промет за који је прописано пореско ослобођење и др.) – нова опција.</w:t>
      </w:r>
    </w:p>
    <w:p w:rsidR="00531C9F" w:rsidRPr="00531C9F" w:rsidRDefault="00531C9F" w:rsidP="00531C9F">
      <w:pPr>
        <w:shd w:val="clear" w:color="auto" w:fill="FFFFFF"/>
        <w:spacing w:after="0" w:line="240" w:lineRule="auto"/>
        <w:textAlignment w:val="baseline"/>
        <w:rPr>
          <w:rFonts w:ascii="Helvetica" w:eastAsia="Times New Roman" w:hAnsi="Helvetica" w:cs="Helvetica"/>
          <w:color w:val="333333"/>
          <w:sz w:val="27"/>
          <w:szCs w:val="27"/>
        </w:rPr>
      </w:pPr>
      <w:r w:rsidRPr="00531C9F">
        <w:rPr>
          <w:rFonts w:ascii="inherit" w:eastAsia="Times New Roman" w:hAnsi="inherit" w:cs="Helvetica"/>
          <w:noProof/>
          <w:color w:val="D23232"/>
          <w:sz w:val="27"/>
          <w:szCs w:val="27"/>
          <w:bdr w:val="none" w:sz="0" w:space="0" w:color="auto" w:frame="1"/>
        </w:rPr>
        <w:drawing>
          <wp:inline distT="0" distB="0" distL="0" distR="0" wp14:anchorId="21270EE1" wp14:editId="72729584">
            <wp:extent cx="5728970" cy="2446020"/>
            <wp:effectExtent l="0" t="0" r="5080" b="0"/>
            <wp:docPr id="3" name="Picture 3" descr="https://www.neobilten.com/wp-content/uploads/2024/07/predlozena-unapredjenja-SEF-slika-3.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neobilten.com/wp-content/uploads/2024/07/predlozena-unapredjenja-SEF-slika-3.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28970" cy="2446020"/>
                    </a:xfrm>
                    <a:prstGeom prst="rect">
                      <a:avLst/>
                    </a:prstGeom>
                    <a:noFill/>
                    <a:ln>
                      <a:noFill/>
                    </a:ln>
                  </pic:spPr>
                </pic:pic>
              </a:graphicData>
            </a:graphic>
          </wp:inline>
        </w:drawing>
      </w:r>
    </w:p>
    <w:p w:rsidR="00531C9F" w:rsidRPr="00531C9F" w:rsidRDefault="00531C9F" w:rsidP="00531C9F">
      <w:pPr>
        <w:shd w:val="clear" w:color="auto" w:fill="FFFFFF"/>
        <w:spacing w:after="450" w:line="240" w:lineRule="auto"/>
        <w:textAlignment w:val="baseline"/>
        <w:rPr>
          <w:rFonts w:ascii="Helvetica" w:eastAsia="Times New Roman" w:hAnsi="Helvetica" w:cs="Helvetica"/>
          <w:color w:val="333333"/>
          <w:sz w:val="27"/>
          <w:szCs w:val="27"/>
        </w:rPr>
      </w:pPr>
      <w:r w:rsidRPr="00531C9F">
        <w:rPr>
          <w:rFonts w:ascii="Helvetica" w:eastAsia="Times New Roman" w:hAnsi="Helvetica" w:cs="Helvetica"/>
          <w:color w:val="333333"/>
          <w:sz w:val="27"/>
          <w:szCs w:val="27"/>
        </w:rPr>
        <w:t>Одабиром опције „Датум повећања – уговор“ потребно је да корисник у календару изабере конкретан датум. Уколико корисник одабере неку од друге две опције, календар за одабир датума повећања – уговор, неће бити доступан.</w:t>
      </w:r>
    </w:p>
    <w:p w:rsidR="00531C9F" w:rsidRPr="00531C9F" w:rsidRDefault="00531C9F" w:rsidP="00531C9F">
      <w:pPr>
        <w:shd w:val="clear" w:color="auto" w:fill="FFFFFF"/>
        <w:spacing w:after="0" w:line="240" w:lineRule="auto"/>
        <w:textAlignment w:val="baseline"/>
        <w:rPr>
          <w:rFonts w:ascii="Helvetica" w:eastAsia="Times New Roman" w:hAnsi="Helvetica" w:cs="Helvetica"/>
          <w:color w:val="333333"/>
          <w:sz w:val="27"/>
          <w:szCs w:val="27"/>
        </w:rPr>
      </w:pPr>
      <w:r w:rsidRPr="00531C9F">
        <w:rPr>
          <w:rFonts w:ascii="inherit" w:eastAsia="Times New Roman" w:hAnsi="inherit" w:cs="Helvetica"/>
          <w:noProof/>
          <w:color w:val="D23232"/>
          <w:sz w:val="27"/>
          <w:szCs w:val="27"/>
          <w:bdr w:val="none" w:sz="0" w:space="0" w:color="auto" w:frame="1"/>
        </w:rPr>
        <w:lastRenderedPageBreak/>
        <w:drawing>
          <wp:inline distT="0" distB="0" distL="0" distR="0" wp14:anchorId="197D807F" wp14:editId="7EB7547C">
            <wp:extent cx="3801110" cy="3954780"/>
            <wp:effectExtent l="0" t="0" r="8890" b="7620"/>
            <wp:docPr id="4" name="Picture 4" descr="https://www.neobilten.com/wp-content/uploads/2024/07/predlozena-unapredjenja-SEF-slika-4.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neobilten.com/wp-content/uploads/2024/07/predlozena-unapredjenja-SEF-slika-4.jp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801110" cy="3954780"/>
                    </a:xfrm>
                    <a:prstGeom prst="rect">
                      <a:avLst/>
                    </a:prstGeom>
                    <a:noFill/>
                    <a:ln>
                      <a:noFill/>
                    </a:ln>
                  </pic:spPr>
                </pic:pic>
              </a:graphicData>
            </a:graphic>
          </wp:inline>
        </w:drawing>
      </w:r>
    </w:p>
    <w:p w:rsidR="00531C9F" w:rsidRPr="00531C9F" w:rsidRDefault="00531C9F" w:rsidP="00531C9F">
      <w:pPr>
        <w:shd w:val="clear" w:color="auto" w:fill="FFFFFF"/>
        <w:spacing w:after="0" w:line="240" w:lineRule="auto"/>
        <w:textAlignment w:val="baseline"/>
        <w:outlineLvl w:val="4"/>
        <w:rPr>
          <w:rFonts w:ascii="Helvetica" w:eastAsia="Times New Roman" w:hAnsi="Helvetica" w:cs="Helvetica"/>
          <w:b/>
          <w:bCs/>
          <w:color w:val="D23232"/>
          <w:sz w:val="30"/>
          <w:szCs w:val="30"/>
        </w:rPr>
      </w:pPr>
      <w:r w:rsidRPr="00531C9F">
        <w:rPr>
          <w:rFonts w:ascii="inherit" w:eastAsia="Times New Roman" w:hAnsi="inherit" w:cs="Helvetica"/>
          <w:b/>
          <w:bCs/>
          <w:color w:val="D23232"/>
          <w:sz w:val="30"/>
          <w:szCs w:val="30"/>
          <w:bdr w:val="none" w:sz="0" w:space="0" w:color="auto" w:frame="1"/>
        </w:rPr>
        <w:t>3.4 Измене за тип документа – Документ о смањењу</w:t>
      </w:r>
    </w:p>
    <w:p w:rsidR="00531C9F" w:rsidRPr="00531C9F" w:rsidRDefault="00531C9F" w:rsidP="00531C9F">
      <w:pPr>
        <w:shd w:val="clear" w:color="auto" w:fill="FFFFFF"/>
        <w:spacing w:after="450" w:line="240" w:lineRule="auto"/>
        <w:textAlignment w:val="baseline"/>
        <w:rPr>
          <w:rFonts w:ascii="Helvetica" w:eastAsia="Times New Roman" w:hAnsi="Helvetica" w:cs="Helvetica"/>
          <w:color w:val="333333"/>
          <w:sz w:val="27"/>
          <w:szCs w:val="27"/>
        </w:rPr>
      </w:pPr>
      <w:r w:rsidRPr="00531C9F">
        <w:rPr>
          <w:rFonts w:ascii="Helvetica" w:eastAsia="Times New Roman" w:hAnsi="Helvetica" w:cs="Helvetica"/>
          <w:color w:val="333333"/>
          <w:sz w:val="27"/>
          <w:szCs w:val="27"/>
        </w:rPr>
        <w:t>Документ о смањењу не садржи секцију „Настанак ПДВ обавезе“.</w:t>
      </w:r>
    </w:p>
    <w:p w:rsidR="00531C9F" w:rsidRPr="00531C9F" w:rsidRDefault="00531C9F" w:rsidP="00531C9F">
      <w:pPr>
        <w:shd w:val="clear" w:color="auto" w:fill="FFFFFF"/>
        <w:spacing w:after="0" w:line="240" w:lineRule="auto"/>
        <w:textAlignment w:val="baseline"/>
        <w:outlineLvl w:val="3"/>
        <w:rPr>
          <w:rFonts w:ascii="Helvetica" w:eastAsia="Times New Roman" w:hAnsi="Helvetica" w:cs="Helvetica"/>
          <w:b/>
          <w:bCs/>
          <w:color w:val="D23232"/>
          <w:sz w:val="33"/>
          <w:szCs w:val="33"/>
        </w:rPr>
      </w:pPr>
      <w:r w:rsidRPr="00531C9F">
        <w:rPr>
          <w:rFonts w:ascii="inherit" w:eastAsia="Times New Roman" w:hAnsi="inherit" w:cs="Helvetica"/>
          <w:b/>
          <w:bCs/>
          <w:color w:val="D23232"/>
          <w:sz w:val="33"/>
          <w:szCs w:val="33"/>
          <w:bdr w:val="none" w:sz="0" w:space="0" w:color="auto" w:frame="1"/>
        </w:rPr>
        <w:t>4. СТАТУС СУБЈЕКТА И ПОРЕСКИ ПЕРИОД</w:t>
      </w:r>
    </w:p>
    <w:p w:rsidR="00531C9F" w:rsidRPr="00531C9F" w:rsidRDefault="00531C9F" w:rsidP="00531C9F">
      <w:pPr>
        <w:shd w:val="clear" w:color="auto" w:fill="FFFFFF"/>
        <w:spacing w:after="450" w:line="240" w:lineRule="auto"/>
        <w:textAlignment w:val="baseline"/>
        <w:rPr>
          <w:rFonts w:ascii="Helvetica" w:eastAsia="Times New Roman" w:hAnsi="Helvetica" w:cs="Helvetica"/>
          <w:color w:val="333333"/>
          <w:sz w:val="27"/>
          <w:szCs w:val="27"/>
        </w:rPr>
      </w:pPr>
      <w:r w:rsidRPr="00531C9F">
        <w:rPr>
          <w:rFonts w:ascii="Helvetica" w:eastAsia="Times New Roman" w:hAnsi="Helvetica" w:cs="Helvetica"/>
          <w:color w:val="333333"/>
          <w:sz w:val="27"/>
          <w:szCs w:val="27"/>
        </w:rPr>
        <w:t>У оквиру одељка „Детаљи компаније“ додаје се могућност да корисници (субјекти), који имају улогу „Администратор“ изврше подешавање опције „Статус субјекта“ и опције „Порески период“.</w:t>
      </w:r>
    </w:p>
    <w:p w:rsidR="00531C9F" w:rsidRPr="00531C9F" w:rsidRDefault="00531C9F" w:rsidP="00531C9F">
      <w:pPr>
        <w:shd w:val="clear" w:color="auto" w:fill="FFFFFF"/>
        <w:spacing w:after="450" w:line="240" w:lineRule="auto"/>
        <w:textAlignment w:val="baseline"/>
        <w:rPr>
          <w:rFonts w:ascii="Helvetica" w:eastAsia="Times New Roman" w:hAnsi="Helvetica" w:cs="Helvetica"/>
          <w:color w:val="333333"/>
          <w:sz w:val="27"/>
          <w:szCs w:val="27"/>
        </w:rPr>
      </w:pPr>
      <w:r w:rsidRPr="00531C9F">
        <w:rPr>
          <w:rFonts w:ascii="Helvetica" w:eastAsia="Times New Roman" w:hAnsi="Helvetica" w:cs="Helvetica"/>
          <w:color w:val="333333"/>
          <w:sz w:val="27"/>
          <w:szCs w:val="27"/>
        </w:rPr>
        <w:t>Уводи се опција „Статус субјекта“ која подразумева одређивање да ли је субјект обвезник ПДВ или не, а ако јесте, да ли је обвезник ПДВ за којег је порески период календарски месец или обвезник ПДВ за којег је порески период календарско тромесечје.</w:t>
      </w:r>
    </w:p>
    <w:p w:rsidR="00531C9F" w:rsidRPr="00531C9F" w:rsidRDefault="00531C9F" w:rsidP="00531C9F">
      <w:pPr>
        <w:shd w:val="clear" w:color="auto" w:fill="FFFFFF"/>
        <w:spacing w:after="450" w:line="240" w:lineRule="auto"/>
        <w:textAlignment w:val="baseline"/>
        <w:rPr>
          <w:rFonts w:ascii="Helvetica" w:eastAsia="Times New Roman" w:hAnsi="Helvetica" w:cs="Helvetica"/>
          <w:color w:val="333333"/>
          <w:sz w:val="27"/>
          <w:szCs w:val="27"/>
        </w:rPr>
      </w:pPr>
      <w:r w:rsidRPr="00531C9F">
        <w:rPr>
          <w:rFonts w:ascii="Helvetica" w:eastAsia="Times New Roman" w:hAnsi="Helvetica" w:cs="Helvetica"/>
          <w:color w:val="333333"/>
          <w:sz w:val="27"/>
          <w:szCs w:val="27"/>
        </w:rPr>
        <w:t>У оквиру секције „Статус субјекта“ уводи се опција „Порески период“ која се односи на обвезнике ПДВ. Обвезници ПДВ врше одабир једне од алтернатива: „Календарски месец“ или „Календарско тромесечје“.</w:t>
      </w:r>
    </w:p>
    <w:p w:rsidR="00531C9F" w:rsidRPr="00531C9F" w:rsidRDefault="00531C9F" w:rsidP="00531C9F">
      <w:pPr>
        <w:shd w:val="clear" w:color="auto" w:fill="FFFFFF"/>
        <w:spacing w:after="0" w:line="240" w:lineRule="auto"/>
        <w:textAlignment w:val="baseline"/>
        <w:rPr>
          <w:rFonts w:ascii="Helvetica" w:eastAsia="Times New Roman" w:hAnsi="Helvetica" w:cs="Helvetica"/>
          <w:color w:val="333333"/>
          <w:sz w:val="27"/>
          <w:szCs w:val="27"/>
        </w:rPr>
      </w:pPr>
      <w:r w:rsidRPr="00531C9F">
        <w:rPr>
          <w:rFonts w:ascii="inherit" w:eastAsia="Times New Roman" w:hAnsi="inherit" w:cs="Helvetica"/>
          <w:i/>
          <w:iCs/>
          <w:color w:val="333333"/>
          <w:sz w:val="27"/>
          <w:szCs w:val="27"/>
          <w:bdr w:val="none" w:sz="0" w:space="0" w:color="auto" w:frame="1"/>
        </w:rPr>
        <w:t>Подешавање „Статуса субјекта“ и „Пореских периода“ у оквиру опције „Детаљи компаније“</w:t>
      </w:r>
    </w:p>
    <w:p w:rsidR="00531C9F" w:rsidRPr="00531C9F" w:rsidRDefault="00531C9F" w:rsidP="00531C9F">
      <w:pPr>
        <w:shd w:val="clear" w:color="auto" w:fill="FFFFFF"/>
        <w:spacing w:after="0" w:line="240" w:lineRule="auto"/>
        <w:textAlignment w:val="baseline"/>
        <w:rPr>
          <w:rFonts w:ascii="Helvetica" w:eastAsia="Times New Roman" w:hAnsi="Helvetica" w:cs="Helvetica"/>
          <w:color w:val="333333"/>
          <w:sz w:val="27"/>
          <w:szCs w:val="27"/>
        </w:rPr>
      </w:pPr>
      <w:r w:rsidRPr="00531C9F">
        <w:rPr>
          <w:rFonts w:ascii="inherit" w:eastAsia="Times New Roman" w:hAnsi="inherit" w:cs="Helvetica"/>
          <w:noProof/>
          <w:color w:val="D23232"/>
          <w:sz w:val="27"/>
          <w:szCs w:val="27"/>
          <w:bdr w:val="none" w:sz="0" w:space="0" w:color="auto" w:frame="1"/>
        </w:rPr>
        <w:lastRenderedPageBreak/>
        <w:drawing>
          <wp:inline distT="0" distB="0" distL="0" distR="0" wp14:anchorId="17FA4E79" wp14:editId="78A12FB3">
            <wp:extent cx="7502525" cy="3966210"/>
            <wp:effectExtent l="0" t="0" r="3175" b="0"/>
            <wp:docPr id="5" name="Picture 5" descr="https://www.neobilten.com/wp-content/uploads/2024/07/predlozena-unapredjenja-SEF-slika-5.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www.neobilten.com/wp-content/uploads/2024/07/predlozena-unapredjenja-SEF-slika-5.jpg">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502525" cy="3966210"/>
                    </a:xfrm>
                    <a:prstGeom prst="rect">
                      <a:avLst/>
                    </a:prstGeom>
                    <a:noFill/>
                    <a:ln>
                      <a:noFill/>
                    </a:ln>
                  </pic:spPr>
                </pic:pic>
              </a:graphicData>
            </a:graphic>
          </wp:inline>
        </w:drawing>
      </w:r>
    </w:p>
    <w:p w:rsidR="00531C9F" w:rsidRPr="00531C9F" w:rsidRDefault="00531C9F" w:rsidP="00531C9F">
      <w:pPr>
        <w:shd w:val="clear" w:color="auto" w:fill="FFFFFF"/>
        <w:spacing w:after="0" w:line="240" w:lineRule="auto"/>
        <w:textAlignment w:val="baseline"/>
        <w:outlineLvl w:val="4"/>
        <w:rPr>
          <w:rFonts w:ascii="Helvetica" w:eastAsia="Times New Roman" w:hAnsi="Helvetica" w:cs="Helvetica"/>
          <w:b/>
          <w:bCs/>
          <w:color w:val="D23232"/>
          <w:sz w:val="30"/>
          <w:szCs w:val="30"/>
        </w:rPr>
      </w:pPr>
      <w:r w:rsidRPr="00531C9F">
        <w:rPr>
          <w:rFonts w:ascii="inherit" w:eastAsia="Times New Roman" w:hAnsi="inherit" w:cs="Helvetica"/>
          <w:b/>
          <w:bCs/>
          <w:color w:val="D23232"/>
          <w:sz w:val="30"/>
          <w:szCs w:val="30"/>
          <w:bdr w:val="none" w:sz="0" w:space="0" w:color="auto" w:frame="1"/>
        </w:rPr>
        <w:t>4.1. Статус субјекта</w:t>
      </w:r>
    </w:p>
    <w:p w:rsidR="00531C9F" w:rsidRPr="00531C9F" w:rsidRDefault="00531C9F" w:rsidP="00531C9F">
      <w:pPr>
        <w:shd w:val="clear" w:color="auto" w:fill="FFFFFF"/>
        <w:spacing w:after="450" w:line="240" w:lineRule="auto"/>
        <w:textAlignment w:val="baseline"/>
        <w:rPr>
          <w:rFonts w:ascii="Helvetica" w:eastAsia="Times New Roman" w:hAnsi="Helvetica" w:cs="Helvetica"/>
          <w:color w:val="333333"/>
          <w:sz w:val="27"/>
          <w:szCs w:val="27"/>
        </w:rPr>
      </w:pPr>
      <w:r w:rsidRPr="00531C9F">
        <w:rPr>
          <w:rFonts w:ascii="Helvetica" w:eastAsia="Times New Roman" w:hAnsi="Helvetica" w:cs="Helvetica"/>
          <w:color w:val="333333"/>
          <w:sz w:val="27"/>
          <w:szCs w:val="27"/>
        </w:rPr>
        <w:t>Омогућен је избор између алтернатива:</w:t>
      </w:r>
    </w:p>
    <w:p w:rsidR="00531C9F" w:rsidRPr="00531C9F" w:rsidRDefault="00531C9F" w:rsidP="00531C9F">
      <w:pPr>
        <w:numPr>
          <w:ilvl w:val="0"/>
          <w:numId w:val="4"/>
        </w:numPr>
        <w:shd w:val="clear" w:color="auto" w:fill="FFFFFF"/>
        <w:spacing w:after="0" w:line="240" w:lineRule="auto"/>
        <w:ind w:left="300"/>
        <w:textAlignment w:val="baseline"/>
        <w:rPr>
          <w:rFonts w:ascii="inherit" w:eastAsia="Times New Roman" w:hAnsi="inherit" w:cs="Helvetica"/>
          <w:color w:val="333333"/>
          <w:sz w:val="27"/>
          <w:szCs w:val="27"/>
        </w:rPr>
      </w:pPr>
      <w:r w:rsidRPr="00531C9F">
        <w:rPr>
          <w:rFonts w:ascii="inherit" w:eastAsia="Times New Roman" w:hAnsi="inherit" w:cs="Helvetica"/>
          <w:color w:val="333333"/>
          <w:sz w:val="27"/>
          <w:szCs w:val="27"/>
        </w:rPr>
        <w:t>Није обвезник ПДВ</w:t>
      </w:r>
    </w:p>
    <w:p w:rsidR="00531C9F" w:rsidRPr="00531C9F" w:rsidRDefault="00531C9F" w:rsidP="00531C9F">
      <w:pPr>
        <w:numPr>
          <w:ilvl w:val="0"/>
          <w:numId w:val="4"/>
        </w:numPr>
        <w:shd w:val="clear" w:color="auto" w:fill="FFFFFF"/>
        <w:spacing w:after="0" w:line="240" w:lineRule="auto"/>
        <w:ind w:left="300"/>
        <w:textAlignment w:val="baseline"/>
        <w:rPr>
          <w:rFonts w:ascii="inherit" w:eastAsia="Times New Roman" w:hAnsi="inherit" w:cs="Helvetica"/>
          <w:color w:val="333333"/>
          <w:sz w:val="27"/>
          <w:szCs w:val="27"/>
        </w:rPr>
      </w:pPr>
      <w:r w:rsidRPr="00531C9F">
        <w:rPr>
          <w:rFonts w:ascii="inherit" w:eastAsia="Times New Roman" w:hAnsi="inherit" w:cs="Helvetica"/>
          <w:color w:val="333333"/>
          <w:sz w:val="27"/>
          <w:szCs w:val="27"/>
        </w:rPr>
        <w:t>Обвезник ПДВ</w:t>
      </w:r>
    </w:p>
    <w:p w:rsidR="00531C9F" w:rsidRPr="00531C9F" w:rsidRDefault="00531C9F" w:rsidP="00531C9F">
      <w:pPr>
        <w:shd w:val="clear" w:color="auto" w:fill="FFFFFF"/>
        <w:spacing w:after="450" w:line="240" w:lineRule="auto"/>
        <w:textAlignment w:val="baseline"/>
        <w:rPr>
          <w:rFonts w:ascii="Helvetica" w:eastAsia="Times New Roman" w:hAnsi="Helvetica" w:cs="Helvetica"/>
          <w:color w:val="333333"/>
          <w:sz w:val="27"/>
          <w:szCs w:val="27"/>
        </w:rPr>
      </w:pPr>
      <w:r w:rsidRPr="00531C9F">
        <w:rPr>
          <w:rFonts w:ascii="Helvetica" w:eastAsia="Times New Roman" w:hAnsi="Helvetica" w:cs="Helvetica"/>
          <w:color w:val="333333"/>
          <w:sz w:val="27"/>
          <w:szCs w:val="27"/>
        </w:rPr>
        <w:t>Уколико субјект означи алтернативу да није обвезник ПДВ, а претходно му је статус био подешен на „Обвезник ПДВ”, потребно је унети датум престанка обављања ПДВ активности.</w:t>
      </w:r>
    </w:p>
    <w:p w:rsidR="00531C9F" w:rsidRPr="00531C9F" w:rsidRDefault="00531C9F" w:rsidP="00531C9F">
      <w:pPr>
        <w:shd w:val="clear" w:color="auto" w:fill="FFFFFF"/>
        <w:spacing w:after="450" w:line="240" w:lineRule="auto"/>
        <w:textAlignment w:val="baseline"/>
        <w:rPr>
          <w:rFonts w:ascii="Helvetica" w:eastAsia="Times New Roman" w:hAnsi="Helvetica" w:cs="Helvetica"/>
          <w:color w:val="333333"/>
          <w:sz w:val="27"/>
          <w:szCs w:val="27"/>
        </w:rPr>
      </w:pPr>
      <w:r w:rsidRPr="00531C9F">
        <w:rPr>
          <w:rFonts w:ascii="Helvetica" w:eastAsia="Times New Roman" w:hAnsi="Helvetica" w:cs="Helvetica"/>
          <w:color w:val="333333"/>
          <w:sz w:val="27"/>
          <w:szCs w:val="27"/>
        </w:rPr>
        <w:t>Уколико субјект означи алтернативу да јесте обвезник ПДВ, укључујући и ситуацију када долази до промене статуса у обвезник ПДВ, потребно је унети датум почетка обављања ПДВ активности.</w:t>
      </w:r>
    </w:p>
    <w:p w:rsidR="00531C9F" w:rsidRPr="00531C9F" w:rsidRDefault="00531C9F" w:rsidP="00531C9F">
      <w:pPr>
        <w:shd w:val="clear" w:color="auto" w:fill="FFFFFF"/>
        <w:spacing w:after="450" w:line="240" w:lineRule="auto"/>
        <w:textAlignment w:val="baseline"/>
        <w:rPr>
          <w:rFonts w:ascii="Helvetica" w:eastAsia="Times New Roman" w:hAnsi="Helvetica" w:cs="Helvetica"/>
          <w:color w:val="333333"/>
          <w:sz w:val="27"/>
          <w:szCs w:val="27"/>
        </w:rPr>
      </w:pPr>
      <w:r w:rsidRPr="00531C9F">
        <w:rPr>
          <w:rFonts w:ascii="Helvetica" w:eastAsia="Times New Roman" w:hAnsi="Helvetica" w:cs="Helvetica"/>
          <w:color w:val="333333"/>
          <w:sz w:val="27"/>
          <w:szCs w:val="27"/>
        </w:rPr>
        <w:t>Унос датума почетка обављања ПДВ активности у предвиђено поље врши се исписом датума или избором датума из понуђеног календара.</w:t>
      </w:r>
    </w:p>
    <w:p w:rsidR="00531C9F" w:rsidRPr="00531C9F" w:rsidRDefault="00531C9F" w:rsidP="00531C9F">
      <w:pPr>
        <w:shd w:val="clear" w:color="auto" w:fill="FFFFFF"/>
        <w:spacing w:after="450" w:line="240" w:lineRule="auto"/>
        <w:textAlignment w:val="baseline"/>
        <w:rPr>
          <w:rFonts w:ascii="Helvetica" w:eastAsia="Times New Roman" w:hAnsi="Helvetica" w:cs="Helvetica"/>
          <w:color w:val="333333"/>
          <w:sz w:val="27"/>
          <w:szCs w:val="27"/>
        </w:rPr>
      </w:pPr>
      <w:r w:rsidRPr="00531C9F">
        <w:rPr>
          <w:rFonts w:ascii="Helvetica" w:eastAsia="Times New Roman" w:hAnsi="Helvetica" w:cs="Helvetica"/>
          <w:color w:val="333333"/>
          <w:sz w:val="27"/>
          <w:szCs w:val="27"/>
        </w:rPr>
        <w:t>Онемогућен је избор будућег датума, као и датума пре 1. јануара 2005. године.</w:t>
      </w:r>
    </w:p>
    <w:p w:rsidR="00531C9F" w:rsidRPr="00531C9F" w:rsidRDefault="00531C9F" w:rsidP="00531C9F">
      <w:pPr>
        <w:shd w:val="clear" w:color="auto" w:fill="FFFFFF"/>
        <w:spacing w:after="0" w:line="240" w:lineRule="auto"/>
        <w:textAlignment w:val="baseline"/>
        <w:outlineLvl w:val="4"/>
        <w:rPr>
          <w:rFonts w:ascii="Helvetica" w:eastAsia="Times New Roman" w:hAnsi="Helvetica" w:cs="Helvetica"/>
          <w:b/>
          <w:bCs/>
          <w:color w:val="D23232"/>
          <w:sz w:val="30"/>
          <w:szCs w:val="30"/>
        </w:rPr>
      </w:pPr>
      <w:r w:rsidRPr="00531C9F">
        <w:rPr>
          <w:rFonts w:ascii="inherit" w:eastAsia="Times New Roman" w:hAnsi="inherit" w:cs="Helvetica"/>
          <w:b/>
          <w:bCs/>
          <w:color w:val="D23232"/>
          <w:sz w:val="30"/>
          <w:szCs w:val="30"/>
          <w:bdr w:val="none" w:sz="0" w:space="0" w:color="auto" w:frame="1"/>
        </w:rPr>
        <w:lastRenderedPageBreak/>
        <w:t>4.2. Порески период</w:t>
      </w:r>
    </w:p>
    <w:p w:rsidR="00531C9F" w:rsidRPr="00531C9F" w:rsidRDefault="00531C9F" w:rsidP="00531C9F">
      <w:pPr>
        <w:shd w:val="clear" w:color="auto" w:fill="FFFFFF"/>
        <w:spacing w:after="450" w:line="240" w:lineRule="auto"/>
        <w:textAlignment w:val="baseline"/>
        <w:rPr>
          <w:rFonts w:ascii="Helvetica" w:eastAsia="Times New Roman" w:hAnsi="Helvetica" w:cs="Helvetica"/>
          <w:color w:val="333333"/>
          <w:sz w:val="27"/>
          <w:szCs w:val="27"/>
        </w:rPr>
      </w:pPr>
      <w:r w:rsidRPr="00531C9F">
        <w:rPr>
          <w:rFonts w:ascii="Helvetica" w:eastAsia="Times New Roman" w:hAnsi="Helvetica" w:cs="Helvetica"/>
          <w:color w:val="333333"/>
          <w:sz w:val="27"/>
          <w:szCs w:val="27"/>
        </w:rPr>
        <w:t>Опција „Порески период“ омогућава субјекту који има статус „Обвезник ПДВ“ да изабере порески период:</w:t>
      </w:r>
    </w:p>
    <w:p w:rsidR="00531C9F" w:rsidRPr="00531C9F" w:rsidRDefault="00531C9F" w:rsidP="00531C9F">
      <w:pPr>
        <w:numPr>
          <w:ilvl w:val="0"/>
          <w:numId w:val="5"/>
        </w:numPr>
        <w:shd w:val="clear" w:color="auto" w:fill="FFFFFF"/>
        <w:spacing w:after="0" w:line="240" w:lineRule="auto"/>
        <w:ind w:left="300"/>
        <w:textAlignment w:val="baseline"/>
        <w:rPr>
          <w:rFonts w:ascii="inherit" w:eastAsia="Times New Roman" w:hAnsi="inherit" w:cs="Helvetica"/>
          <w:color w:val="333333"/>
          <w:sz w:val="27"/>
          <w:szCs w:val="27"/>
        </w:rPr>
      </w:pPr>
      <w:r w:rsidRPr="00531C9F">
        <w:rPr>
          <w:rFonts w:ascii="inherit" w:eastAsia="Times New Roman" w:hAnsi="inherit" w:cs="Helvetica"/>
          <w:color w:val="333333"/>
          <w:sz w:val="27"/>
          <w:szCs w:val="27"/>
        </w:rPr>
        <w:t>Календарски месец</w:t>
      </w:r>
    </w:p>
    <w:p w:rsidR="00531C9F" w:rsidRPr="00531C9F" w:rsidRDefault="00531C9F" w:rsidP="00531C9F">
      <w:pPr>
        <w:numPr>
          <w:ilvl w:val="0"/>
          <w:numId w:val="5"/>
        </w:numPr>
        <w:shd w:val="clear" w:color="auto" w:fill="FFFFFF"/>
        <w:spacing w:after="0" w:line="240" w:lineRule="auto"/>
        <w:ind w:left="300"/>
        <w:textAlignment w:val="baseline"/>
        <w:rPr>
          <w:rFonts w:ascii="inherit" w:eastAsia="Times New Roman" w:hAnsi="inherit" w:cs="Helvetica"/>
          <w:color w:val="333333"/>
          <w:sz w:val="27"/>
          <w:szCs w:val="27"/>
        </w:rPr>
      </w:pPr>
      <w:r w:rsidRPr="00531C9F">
        <w:rPr>
          <w:rFonts w:ascii="inherit" w:eastAsia="Times New Roman" w:hAnsi="inherit" w:cs="Helvetica"/>
          <w:color w:val="333333"/>
          <w:sz w:val="27"/>
          <w:szCs w:val="27"/>
        </w:rPr>
        <w:t>Календарско тромесечје</w:t>
      </w:r>
    </w:p>
    <w:p w:rsidR="00531C9F" w:rsidRPr="00531C9F" w:rsidRDefault="00531C9F" w:rsidP="00531C9F">
      <w:pPr>
        <w:shd w:val="clear" w:color="auto" w:fill="FFFFFF"/>
        <w:spacing w:after="450" w:line="240" w:lineRule="auto"/>
        <w:textAlignment w:val="baseline"/>
        <w:rPr>
          <w:rFonts w:ascii="Helvetica" w:eastAsia="Times New Roman" w:hAnsi="Helvetica" w:cs="Helvetica"/>
          <w:color w:val="333333"/>
          <w:sz w:val="27"/>
          <w:szCs w:val="27"/>
        </w:rPr>
      </w:pPr>
      <w:r w:rsidRPr="00531C9F">
        <w:rPr>
          <w:rFonts w:ascii="Helvetica" w:eastAsia="Times New Roman" w:hAnsi="Helvetica" w:cs="Helvetica"/>
          <w:color w:val="333333"/>
          <w:sz w:val="27"/>
          <w:szCs w:val="27"/>
        </w:rPr>
        <w:t>Омогућено је да се промена пореског периода може извршити искључиво током следећих календарских месеци:</w:t>
      </w:r>
    </w:p>
    <w:p w:rsidR="00531C9F" w:rsidRPr="00531C9F" w:rsidRDefault="00531C9F" w:rsidP="00531C9F">
      <w:pPr>
        <w:numPr>
          <w:ilvl w:val="0"/>
          <w:numId w:val="6"/>
        </w:numPr>
        <w:shd w:val="clear" w:color="auto" w:fill="FFFFFF"/>
        <w:spacing w:after="0" w:line="240" w:lineRule="auto"/>
        <w:ind w:left="300"/>
        <w:textAlignment w:val="baseline"/>
        <w:rPr>
          <w:rFonts w:ascii="inherit" w:eastAsia="Times New Roman" w:hAnsi="inherit" w:cs="Helvetica"/>
          <w:color w:val="333333"/>
          <w:sz w:val="27"/>
          <w:szCs w:val="27"/>
        </w:rPr>
      </w:pPr>
      <w:r w:rsidRPr="00531C9F">
        <w:rPr>
          <w:rFonts w:ascii="inherit" w:eastAsia="Times New Roman" w:hAnsi="inherit" w:cs="Helvetica"/>
          <w:color w:val="333333"/>
          <w:sz w:val="27"/>
          <w:szCs w:val="27"/>
        </w:rPr>
        <w:t>Јануар – за избор/промену која се односи на прво тромесечје</w:t>
      </w:r>
    </w:p>
    <w:p w:rsidR="00531C9F" w:rsidRPr="00531C9F" w:rsidRDefault="00531C9F" w:rsidP="00531C9F">
      <w:pPr>
        <w:numPr>
          <w:ilvl w:val="0"/>
          <w:numId w:val="6"/>
        </w:numPr>
        <w:shd w:val="clear" w:color="auto" w:fill="FFFFFF"/>
        <w:spacing w:after="0" w:line="240" w:lineRule="auto"/>
        <w:ind w:left="300"/>
        <w:textAlignment w:val="baseline"/>
        <w:rPr>
          <w:rFonts w:ascii="inherit" w:eastAsia="Times New Roman" w:hAnsi="inherit" w:cs="Helvetica"/>
          <w:color w:val="333333"/>
          <w:sz w:val="27"/>
          <w:szCs w:val="27"/>
        </w:rPr>
      </w:pPr>
      <w:r w:rsidRPr="00531C9F">
        <w:rPr>
          <w:rFonts w:ascii="inherit" w:eastAsia="Times New Roman" w:hAnsi="inherit" w:cs="Helvetica"/>
          <w:color w:val="333333"/>
          <w:sz w:val="27"/>
          <w:szCs w:val="27"/>
        </w:rPr>
        <w:t>Април – за избор/промену која се односи на друго тромесечје</w:t>
      </w:r>
    </w:p>
    <w:p w:rsidR="00531C9F" w:rsidRPr="00531C9F" w:rsidRDefault="00531C9F" w:rsidP="00531C9F">
      <w:pPr>
        <w:numPr>
          <w:ilvl w:val="0"/>
          <w:numId w:val="6"/>
        </w:numPr>
        <w:shd w:val="clear" w:color="auto" w:fill="FFFFFF"/>
        <w:spacing w:after="0" w:line="240" w:lineRule="auto"/>
        <w:ind w:left="300"/>
        <w:textAlignment w:val="baseline"/>
        <w:rPr>
          <w:rFonts w:ascii="inherit" w:eastAsia="Times New Roman" w:hAnsi="inherit" w:cs="Helvetica"/>
          <w:color w:val="333333"/>
          <w:sz w:val="27"/>
          <w:szCs w:val="27"/>
        </w:rPr>
      </w:pPr>
      <w:r w:rsidRPr="00531C9F">
        <w:rPr>
          <w:rFonts w:ascii="inherit" w:eastAsia="Times New Roman" w:hAnsi="inherit" w:cs="Helvetica"/>
          <w:color w:val="333333"/>
          <w:sz w:val="27"/>
          <w:szCs w:val="27"/>
        </w:rPr>
        <w:t>Јул – за избор/промену која се односи на треће тромесечје</w:t>
      </w:r>
    </w:p>
    <w:p w:rsidR="00531C9F" w:rsidRPr="00531C9F" w:rsidRDefault="00531C9F" w:rsidP="00531C9F">
      <w:pPr>
        <w:numPr>
          <w:ilvl w:val="0"/>
          <w:numId w:val="6"/>
        </w:numPr>
        <w:shd w:val="clear" w:color="auto" w:fill="FFFFFF"/>
        <w:spacing w:after="0" w:line="240" w:lineRule="auto"/>
        <w:ind w:left="300"/>
        <w:textAlignment w:val="baseline"/>
        <w:rPr>
          <w:rFonts w:ascii="inherit" w:eastAsia="Times New Roman" w:hAnsi="inherit" w:cs="Helvetica"/>
          <w:color w:val="333333"/>
          <w:sz w:val="27"/>
          <w:szCs w:val="27"/>
        </w:rPr>
      </w:pPr>
      <w:r w:rsidRPr="00531C9F">
        <w:rPr>
          <w:rFonts w:ascii="inherit" w:eastAsia="Times New Roman" w:hAnsi="inherit" w:cs="Helvetica"/>
          <w:color w:val="333333"/>
          <w:sz w:val="27"/>
          <w:szCs w:val="27"/>
        </w:rPr>
        <w:t>Октобар – за избор/промену која се односи на четврто тромесечје</w:t>
      </w:r>
    </w:p>
    <w:p w:rsidR="00531C9F" w:rsidRPr="00531C9F" w:rsidRDefault="00531C9F" w:rsidP="00531C9F">
      <w:pPr>
        <w:shd w:val="clear" w:color="auto" w:fill="FFFFFF"/>
        <w:spacing w:after="0" w:line="240" w:lineRule="auto"/>
        <w:textAlignment w:val="baseline"/>
        <w:outlineLvl w:val="4"/>
        <w:rPr>
          <w:rFonts w:ascii="Helvetica" w:eastAsia="Times New Roman" w:hAnsi="Helvetica" w:cs="Helvetica"/>
          <w:b/>
          <w:bCs/>
          <w:color w:val="D23232"/>
          <w:sz w:val="30"/>
          <w:szCs w:val="30"/>
        </w:rPr>
      </w:pPr>
      <w:r w:rsidRPr="00531C9F">
        <w:rPr>
          <w:rFonts w:ascii="inherit" w:eastAsia="Times New Roman" w:hAnsi="inherit" w:cs="Helvetica"/>
          <w:b/>
          <w:bCs/>
          <w:color w:val="D23232"/>
          <w:sz w:val="30"/>
          <w:szCs w:val="30"/>
          <w:bdr w:val="none" w:sz="0" w:space="0" w:color="auto" w:frame="1"/>
        </w:rPr>
        <w:t>4.3. Преглед података о статусу субјекта и изменама статуса</w:t>
      </w:r>
    </w:p>
    <w:p w:rsidR="00531C9F" w:rsidRPr="00531C9F" w:rsidRDefault="00531C9F" w:rsidP="00531C9F">
      <w:pPr>
        <w:shd w:val="clear" w:color="auto" w:fill="FFFFFF"/>
        <w:spacing w:after="450" w:line="240" w:lineRule="auto"/>
        <w:textAlignment w:val="baseline"/>
        <w:rPr>
          <w:rFonts w:ascii="Helvetica" w:eastAsia="Times New Roman" w:hAnsi="Helvetica" w:cs="Helvetica"/>
          <w:color w:val="333333"/>
          <w:sz w:val="27"/>
          <w:szCs w:val="27"/>
        </w:rPr>
      </w:pPr>
      <w:r w:rsidRPr="00531C9F">
        <w:rPr>
          <w:rFonts w:ascii="Helvetica" w:eastAsia="Times New Roman" w:hAnsi="Helvetica" w:cs="Helvetica"/>
          <w:color w:val="333333"/>
          <w:sz w:val="27"/>
          <w:szCs w:val="27"/>
        </w:rPr>
        <w:t>Омогућен је следећи приказ:</w:t>
      </w:r>
    </w:p>
    <w:tbl>
      <w:tblPr>
        <w:tblW w:w="10083" w:type="dxa"/>
        <w:tblCellSpacing w:w="15" w:type="dxa"/>
        <w:tblBorders>
          <w:top w:val="single" w:sz="6" w:space="0" w:color="DDDDDD"/>
          <w:left w:val="single" w:sz="6" w:space="0" w:color="DDDDDD"/>
          <w:right w:val="single" w:sz="6" w:space="0" w:color="DDDDDD"/>
        </w:tblBorders>
        <w:tblCellMar>
          <w:top w:w="15" w:type="dxa"/>
          <w:left w:w="15" w:type="dxa"/>
          <w:bottom w:w="15" w:type="dxa"/>
          <w:right w:w="15" w:type="dxa"/>
        </w:tblCellMar>
        <w:tblLook w:val="04A0" w:firstRow="1" w:lastRow="0" w:firstColumn="1" w:lastColumn="0" w:noHBand="0" w:noVBand="1"/>
      </w:tblPr>
      <w:tblGrid>
        <w:gridCol w:w="1255"/>
        <w:gridCol w:w="1269"/>
        <w:gridCol w:w="1564"/>
        <w:gridCol w:w="1559"/>
        <w:gridCol w:w="30"/>
        <w:gridCol w:w="686"/>
        <w:gridCol w:w="678"/>
        <w:gridCol w:w="1451"/>
        <w:gridCol w:w="1591"/>
      </w:tblGrid>
      <w:tr w:rsidR="00531C9F" w:rsidRPr="00531C9F" w:rsidTr="00531C9F">
        <w:trPr>
          <w:tblHeader/>
          <w:tblCellSpacing w:w="15" w:type="dxa"/>
        </w:trPr>
        <w:tc>
          <w:tcPr>
            <w:tcW w:w="1229" w:type="dxa"/>
            <w:tcBorders>
              <w:top w:val="single" w:sz="6" w:space="0" w:color="DDDDDD"/>
              <w:left w:val="nil"/>
              <w:bottom w:val="single" w:sz="6"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24"/>
                <w:szCs w:val="24"/>
              </w:rPr>
            </w:pPr>
          </w:p>
        </w:tc>
        <w:tc>
          <w:tcPr>
            <w:tcW w:w="1260" w:type="dxa"/>
            <w:tcBorders>
              <w:top w:val="single" w:sz="6" w:space="0" w:color="DDDDDD"/>
              <w:left w:val="nil"/>
              <w:bottom w:val="single" w:sz="6"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24"/>
                <w:szCs w:val="24"/>
              </w:rPr>
            </w:pPr>
          </w:p>
        </w:tc>
        <w:tc>
          <w:tcPr>
            <w:tcW w:w="1560" w:type="dxa"/>
            <w:tcBorders>
              <w:top w:val="single" w:sz="6" w:space="0" w:color="DDDDDD"/>
              <w:left w:val="nil"/>
              <w:bottom w:val="single" w:sz="6"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24"/>
                <w:szCs w:val="24"/>
              </w:rPr>
            </w:pPr>
          </w:p>
        </w:tc>
        <w:tc>
          <w:tcPr>
            <w:tcW w:w="1554" w:type="dxa"/>
            <w:gridSpan w:val="2"/>
            <w:tcBorders>
              <w:top w:val="single" w:sz="6" w:space="0" w:color="DDDDDD"/>
              <w:left w:val="nil"/>
              <w:bottom w:val="single" w:sz="6"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24"/>
                <w:szCs w:val="24"/>
              </w:rPr>
            </w:pPr>
          </w:p>
        </w:tc>
        <w:tc>
          <w:tcPr>
            <w:tcW w:w="664" w:type="dxa"/>
            <w:tcBorders>
              <w:top w:val="single" w:sz="6" w:space="0" w:color="DDDDDD"/>
              <w:left w:val="nil"/>
              <w:bottom w:val="single" w:sz="6"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24"/>
                <w:szCs w:val="24"/>
              </w:rPr>
            </w:pPr>
          </w:p>
        </w:tc>
        <w:tc>
          <w:tcPr>
            <w:tcW w:w="649" w:type="dxa"/>
            <w:tcBorders>
              <w:top w:val="single" w:sz="6" w:space="0" w:color="DDDDDD"/>
              <w:left w:val="nil"/>
              <w:bottom w:val="single" w:sz="6"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24"/>
                <w:szCs w:val="24"/>
              </w:rPr>
            </w:pPr>
          </w:p>
        </w:tc>
        <w:tc>
          <w:tcPr>
            <w:tcW w:w="1448" w:type="dxa"/>
            <w:tcBorders>
              <w:top w:val="single" w:sz="6" w:space="0" w:color="DDDDDD"/>
              <w:left w:val="nil"/>
              <w:bottom w:val="single" w:sz="6"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24"/>
                <w:szCs w:val="24"/>
              </w:rPr>
            </w:pPr>
          </w:p>
        </w:tc>
        <w:tc>
          <w:tcPr>
            <w:tcW w:w="1570" w:type="dxa"/>
            <w:tcBorders>
              <w:top w:val="single" w:sz="6" w:space="0" w:color="DDDDDD"/>
              <w:left w:val="nil"/>
              <w:bottom w:val="single" w:sz="6"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24"/>
                <w:szCs w:val="24"/>
              </w:rPr>
            </w:pPr>
          </w:p>
        </w:tc>
      </w:tr>
      <w:tr w:rsidR="00531C9F" w:rsidRPr="00531C9F" w:rsidTr="00531C9F">
        <w:trPr>
          <w:tblHeader/>
          <w:tblCellSpacing w:w="15" w:type="dxa"/>
        </w:trPr>
        <w:tc>
          <w:tcPr>
            <w:tcW w:w="1229" w:type="dxa"/>
            <w:tcBorders>
              <w:top w:val="single" w:sz="2" w:space="0" w:color="DDDDDD"/>
              <w:left w:val="nil"/>
              <w:bottom w:val="single" w:sz="2"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1"/>
              </w:rPr>
            </w:pPr>
          </w:p>
        </w:tc>
        <w:tc>
          <w:tcPr>
            <w:tcW w:w="1260" w:type="dxa"/>
            <w:tcBorders>
              <w:top w:val="single" w:sz="2" w:space="0" w:color="DDDDDD"/>
              <w:left w:val="nil"/>
              <w:bottom w:val="single" w:sz="2"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1"/>
              </w:rPr>
            </w:pPr>
          </w:p>
        </w:tc>
        <w:tc>
          <w:tcPr>
            <w:tcW w:w="1560" w:type="dxa"/>
            <w:tcBorders>
              <w:top w:val="single" w:sz="2" w:space="0" w:color="DDDDDD"/>
              <w:left w:val="nil"/>
              <w:bottom w:val="single" w:sz="2"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1"/>
              </w:rPr>
            </w:pPr>
          </w:p>
        </w:tc>
        <w:tc>
          <w:tcPr>
            <w:tcW w:w="1554" w:type="dxa"/>
            <w:tcBorders>
              <w:top w:val="single" w:sz="2" w:space="0" w:color="DDDDDD"/>
              <w:left w:val="nil"/>
              <w:bottom w:val="single" w:sz="2"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1"/>
              </w:rPr>
            </w:pPr>
          </w:p>
        </w:tc>
        <w:tc>
          <w:tcPr>
            <w:tcW w:w="664" w:type="dxa"/>
            <w:gridSpan w:val="2"/>
            <w:tcBorders>
              <w:top w:val="single" w:sz="2" w:space="0" w:color="DDDDDD"/>
              <w:left w:val="nil"/>
              <w:bottom w:val="single" w:sz="2"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1"/>
              </w:rPr>
            </w:pPr>
          </w:p>
        </w:tc>
        <w:tc>
          <w:tcPr>
            <w:tcW w:w="649" w:type="dxa"/>
            <w:tcBorders>
              <w:top w:val="single" w:sz="2" w:space="0" w:color="DDDDDD"/>
              <w:left w:val="nil"/>
              <w:bottom w:val="single" w:sz="2"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1"/>
              </w:rPr>
            </w:pPr>
          </w:p>
        </w:tc>
        <w:tc>
          <w:tcPr>
            <w:tcW w:w="1448" w:type="dxa"/>
            <w:tcBorders>
              <w:top w:val="single" w:sz="2" w:space="0" w:color="DDDDDD"/>
              <w:left w:val="nil"/>
              <w:bottom w:val="single" w:sz="2"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1"/>
              </w:rPr>
            </w:pPr>
          </w:p>
        </w:tc>
        <w:tc>
          <w:tcPr>
            <w:tcW w:w="1570" w:type="dxa"/>
            <w:tcBorders>
              <w:top w:val="single" w:sz="2" w:space="0" w:color="DDDDDD"/>
              <w:left w:val="nil"/>
              <w:bottom w:val="single" w:sz="2"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1"/>
              </w:rPr>
            </w:pPr>
          </w:p>
        </w:tc>
      </w:tr>
      <w:tr w:rsidR="00531C9F" w:rsidRPr="00531C9F" w:rsidTr="00531C9F">
        <w:trPr>
          <w:tblCellSpacing w:w="15" w:type="dxa"/>
        </w:trPr>
        <w:tc>
          <w:tcPr>
            <w:tcW w:w="1173" w:type="dxa"/>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Статус субјекта</w:t>
            </w:r>
          </w:p>
        </w:tc>
        <w:tc>
          <w:tcPr>
            <w:tcW w:w="1157" w:type="dxa"/>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Порески период</w:t>
            </w:r>
          </w:p>
        </w:tc>
        <w:tc>
          <w:tcPr>
            <w:tcW w:w="1414" w:type="dxa"/>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Датум почетка ПДВ активности</w:t>
            </w:r>
          </w:p>
        </w:tc>
        <w:tc>
          <w:tcPr>
            <w:tcW w:w="1382" w:type="dxa"/>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Датум престанка ПДВ активности</w:t>
            </w:r>
          </w:p>
        </w:tc>
        <w:tc>
          <w:tcPr>
            <w:tcW w:w="980" w:type="dxa"/>
            <w:gridSpan w:val="3"/>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Важи</w:t>
            </w:r>
          </w:p>
        </w:tc>
        <w:tc>
          <w:tcPr>
            <w:tcW w:w="1350" w:type="dxa"/>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Напомена</w:t>
            </w:r>
          </w:p>
        </w:tc>
        <w:tc>
          <w:tcPr>
            <w:tcW w:w="1511" w:type="dxa"/>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Ажурирано</w:t>
            </w:r>
          </w:p>
        </w:tc>
      </w:tr>
      <w:tr w:rsidR="00531C9F" w:rsidRPr="00531C9F" w:rsidTr="00531C9F">
        <w:trPr>
          <w:tblCellSpacing w:w="15" w:type="dxa"/>
        </w:trPr>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Од:</w:t>
            </w: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До:</w:t>
            </w: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p>
        </w:tc>
      </w:tr>
      <w:tr w:rsidR="00531C9F" w:rsidRPr="00531C9F" w:rsidTr="00531C9F">
        <w:trPr>
          <w:tblCellSpacing w:w="15" w:type="dxa"/>
        </w:trPr>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p>
        </w:tc>
      </w:tr>
      <w:tr w:rsidR="00531C9F" w:rsidRPr="00531C9F" w:rsidTr="00531C9F">
        <w:trPr>
          <w:tblCellSpacing w:w="15" w:type="dxa"/>
        </w:trPr>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p>
        </w:tc>
      </w:tr>
    </w:tbl>
    <w:p w:rsidR="00531C9F" w:rsidRPr="00531C9F" w:rsidRDefault="00531C9F" w:rsidP="00531C9F">
      <w:pPr>
        <w:shd w:val="clear" w:color="auto" w:fill="FFFFFF"/>
        <w:spacing w:after="450" w:line="240" w:lineRule="auto"/>
        <w:textAlignment w:val="baseline"/>
        <w:rPr>
          <w:rFonts w:ascii="Helvetica" w:eastAsia="Times New Roman" w:hAnsi="Helvetica" w:cs="Helvetica"/>
          <w:color w:val="333333"/>
          <w:sz w:val="27"/>
          <w:szCs w:val="27"/>
        </w:rPr>
      </w:pPr>
      <w:r w:rsidRPr="00531C9F">
        <w:rPr>
          <w:rFonts w:ascii="Helvetica" w:eastAsia="Times New Roman" w:hAnsi="Helvetica" w:cs="Helvetica"/>
          <w:color w:val="333333"/>
          <w:sz w:val="27"/>
          <w:szCs w:val="27"/>
        </w:rPr>
        <w:t>У колони „Ажурирано“ евидентира се датум када је извршен унос података, односно њихова измена.</w:t>
      </w:r>
    </w:p>
    <w:p w:rsidR="00531C9F" w:rsidRPr="00531C9F" w:rsidRDefault="00531C9F" w:rsidP="00531C9F">
      <w:pPr>
        <w:shd w:val="clear" w:color="auto" w:fill="FFFFFF"/>
        <w:spacing w:after="0" w:line="240" w:lineRule="auto"/>
        <w:textAlignment w:val="baseline"/>
        <w:outlineLvl w:val="3"/>
        <w:rPr>
          <w:rFonts w:ascii="Helvetica" w:eastAsia="Times New Roman" w:hAnsi="Helvetica" w:cs="Helvetica"/>
          <w:b/>
          <w:bCs/>
          <w:color w:val="D23232"/>
          <w:sz w:val="33"/>
          <w:szCs w:val="33"/>
        </w:rPr>
      </w:pPr>
      <w:r w:rsidRPr="00531C9F">
        <w:rPr>
          <w:rFonts w:ascii="inherit" w:eastAsia="Times New Roman" w:hAnsi="inherit" w:cs="Helvetica"/>
          <w:b/>
          <w:bCs/>
          <w:color w:val="D23232"/>
          <w:sz w:val="33"/>
          <w:szCs w:val="33"/>
          <w:bdr w:val="none" w:sz="0" w:space="0" w:color="auto" w:frame="1"/>
        </w:rPr>
        <w:t>5. ПОЈЕДИНАЧНА ЕВИДЕНЦИЈА ПДВ</w:t>
      </w:r>
    </w:p>
    <w:p w:rsidR="00531C9F" w:rsidRPr="00531C9F" w:rsidRDefault="00531C9F" w:rsidP="00531C9F">
      <w:pPr>
        <w:shd w:val="clear" w:color="auto" w:fill="FFFFFF"/>
        <w:spacing w:after="0" w:line="240" w:lineRule="auto"/>
        <w:textAlignment w:val="baseline"/>
        <w:outlineLvl w:val="4"/>
        <w:rPr>
          <w:rFonts w:ascii="Helvetica" w:eastAsia="Times New Roman" w:hAnsi="Helvetica" w:cs="Helvetica"/>
          <w:b/>
          <w:bCs/>
          <w:color w:val="D23232"/>
          <w:sz w:val="30"/>
          <w:szCs w:val="30"/>
        </w:rPr>
      </w:pPr>
      <w:r w:rsidRPr="00531C9F">
        <w:rPr>
          <w:rFonts w:ascii="inherit" w:eastAsia="Times New Roman" w:hAnsi="inherit" w:cs="Helvetica"/>
          <w:b/>
          <w:bCs/>
          <w:color w:val="D23232"/>
          <w:sz w:val="30"/>
          <w:szCs w:val="30"/>
          <w:bdr w:val="none" w:sz="0" w:space="0" w:color="auto" w:frame="1"/>
        </w:rPr>
        <w:t>5.1. Измене Појединачне евиденције ПДВ на корисничком интерфејсу</w:t>
      </w:r>
    </w:p>
    <w:p w:rsidR="00531C9F" w:rsidRPr="00531C9F" w:rsidRDefault="00531C9F" w:rsidP="00531C9F">
      <w:pPr>
        <w:shd w:val="clear" w:color="auto" w:fill="FFFFFF"/>
        <w:spacing w:after="450" w:line="240" w:lineRule="auto"/>
        <w:textAlignment w:val="baseline"/>
        <w:rPr>
          <w:rFonts w:ascii="Helvetica" w:eastAsia="Times New Roman" w:hAnsi="Helvetica" w:cs="Helvetica"/>
          <w:color w:val="333333"/>
          <w:sz w:val="27"/>
          <w:szCs w:val="27"/>
        </w:rPr>
      </w:pPr>
      <w:r w:rsidRPr="00531C9F">
        <w:rPr>
          <w:rFonts w:ascii="Helvetica" w:eastAsia="Times New Roman" w:hAnsi="Helvetica" w:cs="Helvetica"/>
          <w:color w:val="333333"/>
          <w:sz w:val="27"/>
          <w:szCs w:val="27"/>
        </w:rPr>
        <w:t>На корисничком интерфејсу корисник СЕФ-а приступа електронском евидентирању обрачуна ПДВ избором опције „Појединачна евиденција ПДВ“ у главном менију.</w:t>
      </w:r>
    </w:p>
    <w:p w:rsidR="00531C9F" w:rsidRPr="00531C9F" w:rsidRDefault="00531C9F" w:rsidP="00531C9F">
      <w:pPr>
        <w:shd w:val="clear" w:color="auto" w:fill="FFFFFF"/>
        <w:spacing w:after="450" w:line="240" w:lineRule="auto"/>
        <w:textAlignment w:val="baseline"/>
        <w:rPr>
          <w:rFonts w:ascii="Helvetica" w:eastAsia="Times New Roman" w:hAnsi="Helvetica" w:cs="Helvetica"/>
          <w:color w:val="333333"/>
          <w:sz w:val="27"/>
          <w:szCs w:val="27"/>
        </w:rPr>
      </w:pPr>
      <w:r w:rsidRPr="00531C9F">
        <w:rPr>
          <w:rFonts w:ascii="Helvetica" w:eastAsia="Times New Roman" w:hAnsi="Helvetica" w:cs="Helvetica"/>
          <w:color w:val="333333"/>
          <w:sz w:val="27"/>
          <w:szCs w:val="27"/>
        </w:rPr>
        <w:t xml:space="preserve">Избором опције „Додај нову Појединачну евиденцију ПДВ“ отвара се форма за унос података. Појединачне евиденције ПДВ се могу односити на промет „Испорука“ (за тип документа фактура, документ о повећању, документ о смањењу и авансна фактура) и промет „Набавка“ (за тип </w:t>
      </w:r>
      <w:r w:rsidRPr="00531C9F">
        <w:rPr>
          <w:rFonts w:ascii="Helvetica" w:eastAsia="Times New Roman" w:hAnsi="Helvetica" w:cs="Helvetica"/>
          <w:color w:val="333333"/>
          <w:sz w:val="27"/>
          <w:szCs w:val="27"/>
        </w:rPr>
        <w:lastRenderedPageBreak/>
        <w:t>документа интерни рачун – страно лице и интерни рачун – обвезник ПДВ).</w:t>
      </w:r>
    </w:p>
    <w:p w:rsidR="00531C9F" w:rsidRPr="00531C9F" w:rsidRDefault="00531C9F" w:rsidP="00531C9F">
      <w:pPr>
        <w:shd w:val="clear" w:color="auto" w:fill="FFFFFF"/>
        <w:spacing w:after="450" w:line="240" w:lineRule="auto"/>
        <w:textAlignment w:val="baseline"/>
        <w:rPr>
          <w:rFonts w:ascii="Helvetica" w:eastAsia="Times New Roman" w:hAnsi="Helvetica" w:cs="Helvetica"/>
          <w:color w:val="333333"/>
          <w:sz w:val="27"/>
          <w:szCs w:val="27"/>
        </w:rPr>
      </w:pPr>
      <w:r w:rsidRPr="00531C9F">
        <w:rPr>
          <w:rFonts w:ascii="Helvetica" w:eastAsia="Times New Roman" w:hAnsi="Helvetica" w:cs="Helvetica"/>
          <w:color w:val="333333"/>
          <w:sz w:val="27"/>
          <w:szCs w:val="27"/>
        </w:rPr>
        <w:t>За промет „Испорука“ врши се евидентирање у Појединачној евиденцији ПДВ за промет опорезив по стопи ПДВ од 20% за пореску категорију S20 и по стопи од 10% за пореску категорију S10.</w:t>
      </w:r>
    </w:p>
    <w:p w:rsidR="00531C9F" w:rsidRPr="00531C9F" w:rsidRDefault="00531C9F" w:rsidP="00531C9F">
      <w:pPr>
        <w:shd w:val="clear" w:color="auto" w:fill="FFFFFF"/>
        <w:spacing w:after="450" w:line="240" w:lineRule="auto"/>
        <w:textAlignment w:val="baseline"/>
        <w:rPr>
          <w:rFonts w:ascii="Helvetica" w:eastAsia="Times New Roman" w:hAnsi="Helvetica" w:cs="Helvetica"/>
          <w:color w:val="333333"/>
          <w:sz w:val="27"/>
          <w:szCs w:val="27"/>
        </w:rPr>
      </w:pPr>
      <w:r w:rsidRPr="00531C9F">
        <w:rPr>
          <w:rFonts w:ascii="Helvetica" w:eastAsia="Times New Roman" w:hAnsi="Helvetica" w:cs="Helvetica"/>
          <w:color w:val="333333"/>
          <w:sz w:val="27"/>
          <w:szCs w:val="27"/>
        </w:rPr>
        <w:t>За промет „Набавка“ врши се евидентирање у Појединачној евиденцији ПДВ података о прометима опорезивим по стопи ПДВ од 20% за пореску категорију АЕ20 и по стопи ПДВ од 10% за пореску категорију АЕ10, у одговарајућим пољима у зависности да ли је реч о промету грађевинских објеката или је у питању други промет.</w:t>
      </w:r>
    </w:p>
    <w:p w:rsidR="00531C9F" w:rsidRPr="00531C9F" w:rsidRDefault="00531C9F" w:rsidP="00531C9F">
      <w:pPr>
        <w:shd w:val="clear" w:color="auto" w:fill="FFFFFF"/>
        <w:spacing w:after="450" w:line="240" w:lineRule="auto"/>
        <w:textAlignment w:val="baseline"/>
        <w:rPr>
          <w:rFonts w:ascii="Helvetica" w:eastAsia="Times New Roman" w:hAnsi="Helvetica" w:cs="Helvetica"/>
          <w:color w:val="333333"/>
          <w:sz w:val="27"/>
          <w:szCs w:val="27"/>
        </w:rPr>
      </w:pPr>
      <w:r w:rsidRPr="00531C9F">
        <w:rPr>
          <w:rFonts w:ascii="Helvetica" w:eastAsia="Times New Roman" w:hAnsi="Helvetica" w:cs="Helvetica"/>
          <w:color w:val="333333"/>
          <w:sz w:val="27"/>
          <w:szCs w:val="27"/>
        </w:rPr>
        <w:t>Поступак уноса, евидентирања, кориговања и поништавања Појединачне евиденције ПДВ врши се на исти начин као и до сада.</w:t>
      </w:r>
    </w:p>
    <w:p w:rsidR="00531C9F" w:rsidRPr="00531C9F" w:rsidRDefault="00531C9F" w:rsidP="00531C9F">
      <w:pPr>
        <w:shd w:val="clear" w:color="auto" w:fill="FFFFFF"/>
        <w:spacing w:after="0" w:line="240" w:lineRule="auto"/>
        <w:jc w:val="center"/>
        <w:textAlignment w:val="baseline"/>
        <w:rPr>
          <w:rFonts w:ascii="Helvetica" w:eastAsia="Times New Roman" w:hAnsi="Helvetica" w:cs="Helvetica"/>
          <w:color w:val="333333"/>
          <w:sz w:val="27"/>
          <w:szCs w:val="27"/>
        </w:rPr>
      </w:pPr>
      <w:r w:rsidRPr="00531C9F">
        <w:rPr>
          <w:rFonts w:ascii="inherit" w:eastAsia="Times New Roman" w:hAnsi="inherit" w:cs="Helvetica"/>
          <w:b/>
          <w:bCs/>
          <w:color w:val="333333"/>
          <w:sz w:val="27"/>
          <w:szCs w:val="27"/>
          <w:bdr w:val="none" w:sz="0" w:space="0" w:color="auto" w:frame="1"/>
        </w:rPr>
        <w:t>ПРОМЕТ – ИСПОРУКА</w:t>
      </w:r>
    </w:p>
    <w:p w:rsidR="00531C9F" w:rsidRPr="00531C9F" w:rsidRDefault="00531C9F" w:rsidP="00531C9F">
      <w:pPr>
        <w:shd w:val="clear" w:color="auto" w:fill="FFFFFF"/>
        <w:spacing w:after="450" w:line="240" w:lineRule="auto"/>
        <w:textAlignment w:val="baseline"/>
        <w:rPr>
          <w:rFonts w:ascii="Helvetica" w:eastAsia="Times New Roman" w:hAnsi="Helvetica" w:cs="Helvetica"/>
          <w:color w:val="333333"/>
          <w:sz w:val="27"/>
          <w:szCs w:val="27"/>
        </w:rPr>
      </w:pPr>
      <w:r w:rsidRPr="00531C9F">
        <w:rPr>
          <w:rFonts w:ascii="Helvetica" w:eastAsia="Times New Roman" w:hAnsi="Helvetica" w:cs="Helvetica"/>
          <w:color w:val="333333"/>
          <w:sz w:val="27"/>
          <w:szCs w:val="27"/>
        </w:rPr>
        <w:t>1. Тип документа – фактура</w:t>
      </w:r>
    </w:p>
    <w:tbl>
      <w:tblPr>
        <w:tblW w:w="10083" w:type="dxa"/>
        <w:tblCellSpacing w:w="15" w:type="dxa"/>
        <w:tblBorders>
          <w:top w:val="single" w:sz="6" w:space="0" w:color="DDDDDD"/>
          <w:left w:val="single" w:sz="6" w:space="0" w:color="DDDDDD"/>
          <w:right w:val="single" w:sz="6" w:space="0" w:color="DDDDDD"/>
        </w:tblBorders>
        <w:tblCellMar>
          <w:top w:w="15" w:type="dxa"/>
          <w:left w:w="15" w:type="dxa"/>
          <w:bottom w:w="15" w:type="dxa"/>
          <w:right w:w="15" w:type="dxa"/>
        </w:tblCellMar>
        <w:tblLook w:val="04A0" w:firstRow="1" w:lastRow="0" w:firstColumn="1" w:lastColumn="0" w:noHBand="0" w:noVBand="1"/>
      </w:tblPr>
      <w:tblGrid>
        <w:gridCol w:w="4752"/>
        <w:gridCol w:w="30"/>
        <w:gridCol w:w="2401"/>
        <w:gridCol w:w="110"/>
        <w:gridCol w:w="2790"/>
      </w:tblGrid>
      <w:tr w:rsidR="00531C9F" w:rsidRPr="00531C9F" w:rsidTr="00531C9F">
        <w:trPr>
          <w:tblHeader/>
          <w:tblCellSpacing w:w="15" w:type="dxa"/>
        </w:trPr>
        <w:tc>
          <w:tcPr>
            <w:tcW w:w="3406" w:type="dxa"/>
            <w:tcBorders>
              <w:top w:val="single" w:sz="6" w:space="0" w:color="DDDDDD"/>
              <w:left w:val="nil"/>
              <w:bottom w:val="single" w:sz="6"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24"/>
                <w:szCs w:val="24"/>
              </w:rPr>
            </w:pPr>
          </w:p>
        </w:tc>
        <w:tc>
          <w:tcPr>
            <w:tcW w:w="3229" w:type="dxa"/>
            <w:gridSpan w:val="2"/>
            <w:tcBorders>
              <w:top w:val="single" w:sz="6" w:space="0" w:color="DDDDDD"/>
              <w:left w:val="nil"/>
              <w:bottom w:val="single" w:sz="6"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24"/>
                <w:szCs w:val="24"/>
              </w:rPr>
            </w:pPr>
          </w:p>
        </w:tc>
        <w:tc>
          <w:tcPr>
            <w:tcW w:w="3373" w:type="dxa"/>
            <w:gridSpan w:val="2"/>
            <w:tcBorders>
              <w:top w:val="single" w:sz="6" w:space="0" w:color="DDDDDD"/>
              <w:left w:val="nil"/>
              <w:bottom w:val="single" w:sz="6"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24"/>
                <w:szCs w:val="24"/>
              </w:rPr>
            </w:pPr>
          </w:p>
        </w:tc>
      </w:tr>
      <w:tr w:rsidR="00531C9F" w:rsidRPr="00531C9F" w:rsidTr="00531C9F">
        <w:trPr>
          <w:tblHeader/>
          <w:tblCellSpacing w:w="15" w:type="dxa"/>
        </w:trPr>
        <w:tc>
          <w:tcPr>
            <w:tcW w:w="3406" w:type="dxa"/>
            <w:gridSpan w:val="2"/>
            <w:tcBorders>
              <w:top w:val="single" w:sz="2" w:space="0" w:color="DDDDDD"/>
              <w:left w:val="nil"/>
              <w:bottom w:val="single" w:sz="2"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1"/>
              </w:rPr>
            </w:pPr>
          </w:p>
        </w:tc>
        <w:tc>
          <w:tcPr>
            <w:tcW w:w="3229" w:type="dxa"/>
            <w:gridSpan w:val="2"/>
            <w:tcBorders>
              <w:top w:val="single" w:sz="2" w:space="0" w:color="DDDDDD"/>
              <w:left w:val="nil"/>
              <w:bottom w:val="single" w:sz="2"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1"/>
              </w:rPr>
            </w:pPr>
          </w:p>
        </w:tc>
        <w:tc>
          <w:tcPr>
            <w:tcW w:w="3373" w:type="dxa"/>
            <w:tcBorders>
              <w:top w:val="single" w:sz="2" w:space="0" w:color="DDDDDD"/>
              <w:left w:val="nil"/>
              <w:bottom w:val="single" w:sz="2"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1"/>
              </w:rPr>
            </w:pPr>
          </w:p>
        </w:tc>
      </w:tr>
      <w:tr w:rsidR="00531C9F" w:rsidRPr="00531C9F" w:rsidTr="00531C9F">
        <w:trPr>
          <w:tblCellSpacing w:w="15" w:type="dxa"/>
        </w:trPr>
        <w:tc>
          <w:tcPr>
            <w:tcW w:w="3341" w:type="dxa"/>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Јединствени индентификатор евиденције</w:t>
            </w:r>
          </w:p>
        </w:tc>
        <w:tc>
          <w:tcPr>
            <w:tcW w:w="3341" w:type="dxa"/>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Статус</w:t>
            </w:r>
          </w:p>
        </w:tc>
        <w:tc>
          <w:tcPr>
            <w:tcW w:w="3341" w:type="dxa"/>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Датум евидентирања</w:t>
            </w:r>
          </w:p>
        </w:tc>
      </w:tr>
      <w:tr w:rsidR="00531C9F" w:rsidRPr="00531C9F" w:rsidTr="00531C9F">
        <w:trPr>
          <w:tblCellSpacing w:w="15" w:type="dxa"/>
        </w:trPr>
        <w:tc>
          <w:tcPr>
            <w:tcW w:w="0" w:type="auto"/>
            <w:gridSpan w:val="5"/>
            <w:tcBorders>
              <w:top w:val="nil"/>
              <w:left w:val="nil"/>
              <w:bottom w:val="nil"/>
              <w:right w:val="nil"/>
            </w:tcBorders>
            <w:shd w:val="clear" w:color="auto" w:fill="676767"/>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Број Појединачне евиденције ПДВ</w:t>
            </w:r>
          </w:p>
        </w:tc>
        <w:tc>
          <w:tcPr>
            <w:tcW w:w="0" w:type="auto"/>
            <w:gridSpan w:val="3"/>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Промет по стопи од 20% - S20</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Година</w:t>
            </w:r>
          </w:p>
        </w:tc>
        <w:tc>
          <w:tcPr>
            <w:tcW w:w="0" w:type="auto"/>
            <w:gridSpan w:val="3"/>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Опис</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Порески период</w:t>
            </w:r>
          </w:p>
        </w:tc>
        <w:tc>
          <w:tcPr>
            <w:tcW w:w="0" w:type="auto"/>
            <w:gridSpan w:val="3"/>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Основица</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Период</w:t>
            </w:r>
          </w:p>
        </w:tc>
        <w:tc>
          <w:tcPr>
            <w:tcW w:w="0" w:type="auto"/>
            <w:gridSpan w:val="3"/>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Обрачунати ПДВ</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Промет - Испорука</w:t>
            </w:r>
          </w:p>
        </w:tc>
        <w:tc>
          <w:tcPr>
            <w:tcW w:w="0" w:type="auto"/>
            <w:gridSpan w:val="3"/>
            <w:tcBorders>
              <w:top w:val="nil"/>
              <w:left w:val="nil"/>
              <w:bottom w:val="nil"/>
              <w:right w:val="nil"/>
            </w:tcBorders>
            <w:shd w:val="clear" w:color="auto" w:fill="676767"/>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Идентификатор лица којем се врши промет (ПИБ/ПИБ и ЈБКЈС)</w:t>
            </w:r>
          </w:p>
        </w:tc>
        <w:tc>
          <w:tcPr>
            <w:tcW w:w="0" w:type="auto"/>
            <w:gridSpan w:val="3"/>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Промет по стопи од 10% - S10</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Тип документа - фактура</w:t>
            </w:r>
          </w:p>
        </w:tc>
        <w:tc>
          <w:tcPr>
            <w:tcW w:w="0" w:type="auto"/>
            <w:gridSpan w:val="3"/>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Опис</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Број документа</w:t>
            </w:r>
          </w:p>
        </w:tc>
        <w:tc>
          <w:tcPr>
            <w:tcW w:w="0" w:type="auto"/>
            <w:gridSpan w:val="3"/>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Основица</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Повезане авансне фактуре</w:t>
            </w:r>
          </w:p>
        </w:tc>
        <w:tc>
          <w:tcPr>
            <w:tcW w:w="0" w:type="auto"/>
            <w:gridSpan w:val="3"/>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Обрачунати ПДВ</w:t>
            </w:r>
          </w:p>
        </w:tc>
      </w:tr>
      <w:tr w:rsidR="00531C9F" w:rsidRPr="00531C9F" w:rsidTr="00531C9F">
        <w:trPr>
          <w:tblCellSpacing w:w="15" w:type="dxa"/>
        </w:trPr>
        <w:tc>
          <w:tcPr>
            <w:tcW w:w="0" w:type="auto"/>
            <w:gridSpan w:val="2"/>
            <w:tcBorders>
              <w:top w:val="nil"/>
              <w:left w:val="nil"/>
              <w:bottom w:val="nil"/>
              <w:right w:val="nil"/>
            </w:tcBorders>
            <w:shd w:val="clear" w:color="auto" w:fill="676767"/>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p>
        </w:tc>
        <w:tc>
          <w:tcPr>
            <w:tcW w:w="0" w:type="auto"/>
            <w:gridSpan w:val="3"/>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Укупно обрачунати ПДВ</w:t>
            </w:r>
          </w:p>
        </w:tc>
      </w:tr>
    </w:tbl>
    <w:p w:rsidR="00531C9F" w:rsidRPr="00531C9F" w:rsidRDefault="00531C9F" w:rsidP="00531C9F">
      <w:pPr>
        <w:shd w:val="clear" w:color="auto" w:fill="FFFFFF"/>
        <w:spacing w:after="450" w:line="240" w:lineRule="auto"/>
        <w:textAlignment w:val="baseline"/>
        <w:rPr>
          <w:rFonts w:ascii="Helvetica" w:eastAsia="Times New Roman" w:hAnsi="Helvetica" w:cs="Helvetica"/>
          <w:color w:val="333333"/>
          <w:sz w:val="27"/>
          <w:szCs w:val="27"/>
        </w:rPr>
      </w:pPr>
      <w:r w:rsidRPr="00531C9F">
        <w:rPr>
          <w:rFonts w:ascii="Helvetica" w:eastAsia="Times New Roman" w:hAnsi="Helvetica" w:cs="Helvetica"/>
          <w:color w:val="333333"/>
          <w:sz w:val="27"/>
          <w:szCs w:val="27"/>
        </w:rPr>
        <w:t>2. Тип документа – авансна фактура</w:t>
      </w:r>
    </w:p>
    <w:tbl>
      <w:tblPr>
        <w:tblW w:w="10083" w:type="dxa"/>
        <w:tblCellSpacing w:w="15" w:type="dxa"/>
        <w:tblBorders>
          <w:top w:val="single" w:sz="6" w:space="0" w:color="DDDDDD"/>
          <w:left w:val="single" w:sz="6" w:space="0" w:color="DDDDDD"/>
          <w:right w:val="single" w:sz="6" w:space="0" w:color="DDDDDD"/>
        </w:tblBorders>
        <w:tblCellMar>
          <w:top w:w="15" w:type="dxa"/>
          <w:left w:w="15" w:type="dxa"/>
          <w:bottom w:w="15" w:type="dxa"/>
          <w:right w:w="15" w:type="dxa"/>
        </w:tblCellMar>
        <w:tblLook w:val="04A0" w:firstRow="1" w:lastRow="0" w:firstColumn="1" w:lastColumn="0" w:noHBand="0" w:noVBand="1"/>
      </w:tblPr>
      <w:tblGrid>
        <w:gridCol w:w="4727"/>
        <w:gridCol w:w="30"/>
        <w:gridCol w:w="2410"/>
        <w:gridCol w:w="114"/>
        <w:gridCol w:w="2802"/>
      </w:tblGrid>
      <w:tr w:rsidR="00531C9F" w:rsidRPr="00531C9F" w:rsidTr="00531C9F">
        <w:trPr>
          <w:tblHeader/>
          <w:tblCellSpacing w:w="15" w:type="dxa"/>
        </w:trPr>
        <w:tc>
          <w:tcPr>
            <w:tcW w:w="3338" w:type="dxa"/>
            <w:tcBorders>
              <w:top w:val="single" w:sz="6" w:space="0" w:color="DDDDDD"/>
              <w:left w:val="nil"/>
              <w:bottom w:val="single" w:sz="6"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24"/>
                <w:szCs w:val="24"/>
              </w:rPr>
            </w:pPr>
          </w:p>
        </w:tc>
        <w:tc>
          <w:tcPr>
            <w:tcW w:w="3263" w:type="dxa"/>
            <w:gridSpan w:val="2"/>
            <w:tcBorders>
              <w:top w:val="single" w:sz="6" w:space="0" w:color="DDDDDD"/>
              <w:left w:val="nil"/>
              <w:bottom w:val="single" w:sz="6"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24"/>
                <w:szCs w:val="24"/>
              </w:rPr>
            </w:pPr>
          </w:p>
        </w:tc>
        <w:tc>
          <w:tcPr>
            <w:tcW w:w="3407" w:type="dxa"/>
            <w:gridSpan w:val="2"/>
            <w:tcBorders>
              <w:top w:val="single" w:sz="6" w:space="0" w:color="DDDDDD"/>
              <w:left w:val="nil"/>
              <w:bottom w:val="single" w:sz="6"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24"/>
                <w:szCs w:val="24"/>
              </w:rPr>
            </w:pPr>
          </w:p>
        </w:tc>
      </w:tr>
      <w:tr w:rsidR="00531C9F" w:rsidRPr="00531C9F" w:rsidTr="00531C9F">
        <w:trPr>
          <w:tblHeader/>
          <w:tblCellSpacing w:w="15" w:type="dxa"/>
        </w:trPr>
        <w:tc>
          <w:tcPr>
            <w:tcW w:w="3338" w:type="dxa"/>
            <w:gridSpan w:val="2"/>
            <w:tcBorders>
              <w:top w:val="single" w:sz="2" w:space="0" w:color="DDDDDD"/>
              <w:left w:val="nil"/>
              <w:bottom w:val="single" w:sz="2"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1"/>
              </w:rPr>
            </w:pPr>
          </w:p>
        </w:tc>
        <w:tc>
          <w:tcPr>
            <w:tcW w:w="3263" w:type="dxa"/>
            <w:gridSpan w:val="2"/>
            <w:tcBorders>
              <w:top w:val="single" w:sz="2" w:space="0" w:color="DDDDDD"/>
              <w:left w:val="nil"/>
              <w:bottom w:val="single" w:sz="2"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1"/>
              </w:rPr>
            </w:pPr>
          </w:p>
        </w:tc>
        <w:tc>
          <w:tcPr>
            <w:tcW w:w="3407" w:type="dxa"/>
            <w:tcBorders>
              <w:top w:val="single" w:sz="2" w:space="0" w:color="DDDDDD"/>
              <w:left w:val="nil"/>
              <w:bottom w:val="single" w:sz="2"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1"/>
              </w:rPr>
            </w:pPr>
          </w:p>
        </w:tc>
      </w:tr>
      <w:tr w:rsidR="00531C9F" w:rsidRPr="00531C9F" w:rsidTr="00531C9F">
        <w:trPr>
          <w:tblCellSpacing w:w="15" w:type="dxa"/>
        </w:trPr>
        <w:tc>
          <w:tcPr>
            <w:tcW w:w="3259" w:type="dxa"/>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Јединствени индентификатор евиденције</w:t>
            </w:r>
          </w:p>
        </w:tc>
        <w:tc>
          <w:tcPr>
            <w:tcW w:w="3382" w:type="dxa"/>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Статус</w:t>
            </w:r>
          </w:p>
        </w:tc>
        <w:tc>
          <w:tcPr>
            <w:tcW w:w="3382" w:type="dxa"/>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Датум евидентирања</w:t>
            </w:r>
          </w:p>
        </w:tc>
      </w:tr>
      <w:tr w:rsidR="00531C9F" w:rsidRPr="00531C9F" w:rsidTr="00531C9F">
        <w:trPr>
          <w:tblCellSpacing w:w="15" w:type="dxa"/>
        </w:trPr>
        <w:tc>
          <w:tcPr>
            <w:tcW w:w="0" w:type="auto"/>
            <w:gridSpan w:val="5"/>
            <w:tcBorders>
              <w:top w:val="nil"/>
              <w:left w:val="nil"/>
              <w:bottom w:val="nil"/>
              <w:right w:val="nil"/>
            </w:tcBorders>
            <w:shd w:val="clear" w:color="auto" w:fill="676767"/>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Број Појединачне евиденције ПДВ</w:t>
            </w:r>
          </w:p>
        </w:tc>
        <w:tc>
          <w:tcPr>
            <w:tcW w:w="0" w:type="auto"/>
            <w:gridSpan w:val="3"/>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Аванс за промет по стопи од 20% - S20</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Година</w:t>
            </w:r>
          </w:p>
        </w:tc>
        <w:tc>
          <w:tcPr>
            <w:tcW w:w="0" w:type="auto"/>
            <w:gridSpan w:val="3"/>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Опис</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Порески период</w:t>
            </w:r>
          </w:p>
        </w:tc>
        <w:tc>
          <w:tcPr>
            <w:tcW w:w="0" w:type="auto"/>
            <w:gridSpan w:val="3"/>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Основица</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Период</w:t>
            </w:r>
          </w:p>
        </w:tc>
        <w:tc>
          <w:tcPr>
            <w:tcW w:w="0" w:type="auto"/>
            <w:gridSpan w:val="3"/>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Обрачунати ПДВ</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Промет - Испорука</w:t>
            </w:r>
          </w:p>
        </w:tc>
        <w:tc>
          <w:tcPr>
            <w:tcW w:w="0" w:type="auto"/>
            <w:gridSpan w:val="3"/>
            <w:tcBorders>
              <w:top w:val="nil"/>
              <w:left w:val="nil"/>
              <w:bottom w:val="nil"/>
              <w:right w:val="nil"/>
            </w:tcBorders>
            <w:shd w:val="clear" w:color="auto" w:fill="676767"/>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Идентификатор лица којем се врши промет (ПИБ/ПИБ и ЈБКЈС)</w:t>
            </w:r>
          </w:p>
        </w:tc>
        <w:tc>
          <w:tcPr>
            <w:tcW w:w="0" w:type="auto"/>
            <w:gridSpan w:val="3"/>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Аванс за промет по стопи од 10% - S10</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Тип документа - Авансна фактура</w:t>
            </w:r>
          </w:p>
        </w:tc>
        <w:tc>
          <w:tcPr>
            <w:tcW w:w="0" w:type="auto"/>
            <w:gridSpan w:val="3"/>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Опис</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Број документа</w:t>
            </w:r>
          </w:p>
        </w:tc>
        <w:tc>
          <w:tcPr>
            <w:tcW w:w="0" w:type="auto"/>
            <w:gridSpan w:val="3"/>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Основица</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Датум аванса</w:t>
            </w:r>
          </w:p>
        </w:tc>
        <w:tc>
          <w:tcPr>
            <w:tcW w:w="0" w:type="auto"/>
            <w:gridSpan w:val="3"/>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Обрачунати ПДВ</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Основ за авансно плаћање</w:t>
            </w:r>
          </w:p>
        </w:tc>
        <w:tc>
          <w:tcPr>
            <w:tcW w:w="0" w:type="auto"/>
            <w:gridSpan w:val="3"/>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Укупно обрачунати ПДВ</w:t>
            </w:r>
          </w:p>
        </w:tc>
      </w:tr>
    </w:tbl>
    <w:p w:rsidR="00531C9F" w:rsidRPr="00531C9F" w:rsidRDefault="00531C9F" w:rsidP="00531C9F">
      <w:pPr>
        <w:shd w:val="clear" w:color="auto" w:fill="FFFFFF"/>
        <w:spacing w:after="450" w:line="240" w:lineRule="auto"/>
        <w:textAlignment w:val="baseline"/>
        <w:rPr>
          <w:rFonts w:ascii="Helvetica" w:eastAsia="Times New Roman" w:hAnsi="Helvetica" w:cs="Helvetica"/>
          <w:color w:val="333333"/>
          <w:sz w:val="27"/>
          <w:szCs w:val="27"/>
        </w:rPr>
      </w:pPr>
      <w:r w:rsidRPr="00531C9F">
        <w:rPr>
          <w:rFonts w:ascii="Helvetica" w:eastAsia="Times New Roman" w:hAnsi="Helvetica" w:cs="Helvetica"/>
          <w:color w:val="333333"/>
          <w:sz w:val="27"/>
          <w:szCs w:val="27"/>
        </w:rPr>
        <w:t>3. Тип документа – документ о повећању</w:t>
      </w:r>
    </w:p>
    <w:tbl>
      <w:tblPr>
        <w:tblW w:w="10083" w:type="dxa"/>
        <w:tblCellSpacing w:w="15" w:type="dxa"/>
        <w:tblBorders>
          <w:top w:val="single" w:sz="6" w:space="0" w:color="DDDDDD"/>
          <w:left w:val="single" w:sz="6" w:space="0" w:color="DDDDDD"/>
          <w:right w:val="single" w:sz="6" w:space="0" w:color="DDDDDD"/>
        </w:tblBorders>
        <w:tblCellMar>
          <w:top w:w="15" w:type="dxa"/>
          <w:left w:w="15" w:type="dxa"/>
          <w:bottom w:w="15" w:type="dxa"/>
          <w:right w:w="15" w:type="dxa"/>
        </w:tblCellMar>
        <w:tblLook w:val="04A0" w:firstRow="1" w:lastRow="0" w:firstColumn="1" w:lastColumn="0" w:noHBand="0" w:noVBand="1"/>
      </w:tblPr>
      <w:tblGrid>
        <w:gridCol w:w="5359"/>
        <w:gridCol w:w="30"/>
        <w:gridCol w:w="2059"/>
        <w:gridCol w:w="100"/>
        <w:gridCol w:w="2535"/>
      </w:tblGrid>
      <w:tr w:rsidR="00531C9F" w:rsidRPr="00531C9F" w:rsidTr="00531C9F">
        <w:trPr>
          <w:tblHeader/>
          <w:tblCellSpacing w:w="15" w:type="dxa"/>
        </w:trPr>
        <w:tc>
          <w:tcPr>
            <w:tcW w:w="3338" w:type="dxa"/>
            <w:tcBorders>
              <w:top w:val="single" w:sz="6" w:space="0" w:color="DDDDDD"/>
              <w:left w:val="nil"/>
              <w:bottom w:val="single" w:sz="6"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24"/>
                <w:szCs w:val="24"/>
              </w:rPr>
            </w:pPr>
          </w:p>
        </w:tc>
        <w:tc>
          <w:tcPr>
            <w:tcW w:w="3263" w:type="dxa"/>
            <w:gridSpan w:val="2"/>
            <w:tcBorders>
              <w:top w:val="single" w:sz="6" w:space="0" w:color="DDDDDD"/>
              <w:left w:val="nil"/>
              <w:bottom w:val="single" w:sz="6"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24"/>
                <w:szCs w:val="24"/>
              </w:rPr>
            </w:pPr>
          </w:p>
        </w:tc>
        <w:tc>
          <w:tcPr>
            <w:tcW w:w="3407" w:type="dxa"/>
            <w:gridSpan w:val="2"/>
            <w:tcBorders>
              <w:top w:val="single" w:sz="6" w:space="0" w:color="DDDDDD"/>
              <w:left w:val="nil"/>
              <w:bottom w:val="single" w:sz="6"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24"/>
                <w:szCs w:val="24"/>
              </w:rPr>
            </w:pPr>
          </w:p>
        </w:tc>
      </w:tr>
      <w:tr w:rsidR="00531C9F" w:rsidRPr="00531C9F" w:rsidTr="00531C9F">
        <w:trPr>
          <w:tblHeader/>
          <w:tblCellSpacing w:w="15" w:type="dxa"/>
        </w:trPr>
        <w:tc>
          <w:tcPr>
            <w:tcW w:w="3338" w:type="dxa"/>
            <w:gridSpan w:val="2"/>
            <w:tcBorders>
              <w:top w:val="single" w:sz="2" w:space="0" w:color="DDDDDD"/>
              <w:left w:val="nil"/>
              <w:bottom w:val="single" w:sz="2"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1"/>
              </w:rPr>
            </w:pPr>
          </w:p>
        </w:tc>
        <w:tc>
          <w:tcPr>
            <w:tcW w:w="3263" w:type="dxa"/>
            <w:gridSpan w:val="2"/>
            <w:tcBorders>
              <w:top w:val="single" w:sz="2" w:space="0" w:color="DDDDDD"/>
              <w:left w:val="nil"/>
              <w:bottom w:val="single" w:sz="2"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1"/>
              </w:rPr>
            </w:pPr>
          </w:p>
        </w:tc>
        <w:tc>
          <w:tcPr>
            <w:tcW w:w="3407" w:type="dxa"/>
            <w:tcBorders>
              <w:top w:val="single" w:sz="2" w:space="0" w:color="DDDDDD"/>
              <w:left w:val="nil"/>
              <w:bottom w:val="single" w:sz="2"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1"/>
              </w:rPr>
            </w:pPr>
          </w:p>
        </w:tc>
      </w:tr>
      <w:tr w:rsidR="00531C9F" w:rsidRPr="00531C9F" w:rsidTr="00531C9F">
        <w:trPr>
          <w:tblCellSpacing w:w="15" w:type="dxa"/>
        </w:trPr>
        <w:tc>
          <w:tcPr>
            <w:tcW w:w="3259" w:type="dxa"/>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Јединствени индентификатор евиденције</w:t>
            </w:r>
          </w:p>
        </w:tc>
        <w:tc>
          <w:tcPr>
            <w:tcW w:w="3382" w:type="dxa"/>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Статус</w:t>
            </w:r>
          </w:p>
        </w:tc>
        <w:tc>
          <w:tcPr>
            <w:tcW w:w="3382" w:type="dxa"/>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Датум евидентирања</w:t>
            </w:r>
          </w:p>
        </w:tc>
      </w:tr>
      <w:tr w:rsidR="00531C9F" w:rsidRPr="00531C9F" w:rsidTr="00531C9F">
        <w:trPr>
          <w:tblCellSpacing w:w="15" w:type="dxa"/>
        </w:trPr>
        <w:tc>
          <w:tcPr>
            <w:tcW w:w="0" w:type="auto"/>
            <w:gridSpan w:val="5"/>
            <w:tcBorders>
              <w:top w:val="nil"/>
              <w:left w:val="nil"/>
              <w:bottom w:val="nil"/>
              <w:right w:val="nil"/>
            </w:tcBorders>
            <w:shd w:val="clear" w:color="auto" w:fill="676767"/>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Број Појединачне евиденције ПДВ</w:t>
            </w:r>
          </w:p>
        </w:tc>
        <w:tc>
          <w:tcPr>
            <w:tcW w:w="0" w:type="auto"/>
            <w:gridSpan w:val="3"/>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Промет по стопи од 20% - S20</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Година</w:t>
            </w:r>
          </w:p>
        </w:tc>
        <w:tc>
          <w:tcPr>
            <w:tcW w:w="0" w:type="auto"/>
            <w:gridSpan w:val="3"/>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Опис</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Порески период</w:t>
            </w:r>
          </w:p>
        </w:tc>
        <w:tc>
          <w:tcPr>
            <w:tcW w:w="0" w:type="auto"/>
            <w:gridSpan w:val="3"/>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Основица</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Период</w:t>
            </w:r>
          </w:p>
        </w:tc>
        <w:tc>
          <w:tcPr>
            <w:tcW w:w="0" w:type="auto"/>
            <w:gridSpan w:val="3"/>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Обрачунати ПДВ</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Промет - Испорука</w:t>
            </w:r>
          </w:p>
        </w:tc>
        <w:tc>
          <w:tcPr>
            <w:tcW w:w="0" w:type="auto"/>
            <w:gridSpan w:val="3"/>
            <w:tcBorders>
              <w:top w:val="nil"/>
              <w:left w:val="nil"/>
              <w:bottom w:val="nil"/>
              <w:right w:val="nil"/>
            </w:tcBorders>
            <w:shd w:val="clear" w:color="auto" w:fill="676767"/>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Идентификатор лица којем се врши промет (ПИБ/ПИБ и ЈБКЈС)</w:t>
            </w:r>
          </w:p>
        </w:tc>
        <w:tc>
          <w:tcPr>
            <w:tcW w:w="0" w:type="auto"/>
            <w:gridSpan w:val="3"/>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Промет по стопи од 10% - S10</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lastRenderedPageBreak/>
              <w:t>Тип документа - Документ о повећању</w:t>
            </w:r>
          </w:p>
        </w:tc>
        <w:tc>
          <w:tcPr>
            <w:tcW w:w="0" w:type="auto"/>
            <w:gridSpan w:val="3"/>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Опис</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Број документа</w:t>
            </w:r>
          </w:p>
        </w:tc>
        <w:tc>
          <w:tcPr>
            <w:tcW w:w="0" w:type="auto"/>
            <w:gridSpan w:val="3"/>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Основица</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Повезане фактуре</w:t>
            </w:r>
          </w:p>
        </w:tc>
        <w:tc>
          <w:tcPr>
            <w:tcW w:w="0" w:type="auto"/>
            <w:gridSpan w:val="3"/>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Обрачунати ПДВ</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Ако је алтернатива "Фактура" - Број повезане фактуре</w:t>
            </w:r>
          </w:p>
        </w:tc>
        <w:tc>
          <w:tcPr>
            <w:tcW w:w="0" w:type="auto"/>
            <w:gridSpan w:val="3"/>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Ако је алтернатива "Временски период" - Календар са избором почетка и завршетка периода</w:t>
            </w:r>
          </w:p>
        </w:tc>
        <w:tc>
          <w:tcPr>
            <w:tcW w:w="0" w:type="auto"/>
            <w:gridSpan w:val="3"/>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Укупно обрачунати ПДВ</w:t>
            </w:r>
          </w:p>
        </w:tc>
      </w:tr>
    </w:tbl>
    <w:p w:rsidR="00531C9F" w:rsidRPr="00531C9F" w:rsidRDefault="00531C9F" w:rsidP="00531C9F">
      <w:pPr>
        <w:shd w:val="clear" w:color="auto" w:fill="FFFFFF"/>
        <w:spacing w:after="450" w:line="240" w:lineRule="auto"/>
        <w:textAlignment w:val="baseline"/>
        <w:rPr>
          <w:rFonts w:ascii="Helvetica" w:eastAsia="Times New Roman" w:hAnsi="Helvetica" w:cs="Helvetica"/>
          <w:color w:val="333333"/>
          <w:sz w:val="27"/>
          <w:szCs w:val="27"/>
        </w:rPr>
      </w:pPr>
      <w:r w:rsidRPr="00531C9F">
        <w:rPr>
          <w:rFonts w:ascii="Helvetica" w:eastAsia="Times New Roman" w:hAnsi="Helvetica" w:cs="Helvetica"/>
          <w:color w:val="333333"/>
          <w:sz w:val="27"/>
          <w:szCs w:val="27"/>
        </w:rPr>
        <w:t>4. Тип документа – документ о смањењу</w:t>
      </w:r>
    </w:p>
    <w:tbl>
      <w:tblPr>
        <w:tblW w:w="10083" w:type="dxa"/>
        <w:tblCellSpacing w:w="15" w:type="dxa"/>
        <w:tblBorders>
          <w:top w:val="single" w:sz="6" w:space="0" w:color="DDDDDD"/>
          <w:left w:val="single" w:sz="6" w:space="0" w:color="DDDDDD"/>
          <w:right w:val="single" w:sz="6" w:space="0" w:color="DDDDDD"/>
        </w:tblBorders>
        <w:tblCellMar>
          <w:top w:w="15" w:type="dxa"/>
          <w:left w:w="15" w:type="dxa"/>
          <w:bottom w:w="15" w:type="dxa"/>
          <w:right w:w="15" w:type="dxa"/>
        </w:tblCellMar>
        <w:tblLook w:val="04A0" w:firstRow="1" w:lastRow="0" w:firstColumn="1" w:lastColumn="0" w:noHBand="0" w:noVBand="1"/>
      </w:tblPr>
      <w:tblGrid>
        <w:gridCol w:w="5359"/>
        <w:gridCol w:w="30"/>
        <w:gridCol w:w="2059"/>
        <w:gridCol w:w="100"/>
        <w:gridCol w:w="2535"/>
      </w:tblGrid>
      <w:tr w:rsidR="00531C9F" w:rsidRPr="00531C9F" w:rsidTr="00531C9F">
        <w:trPr>
          <w:tblHeader/>
          <w:tblCellSpacing w:w="15" w:type="dxa"/>
        </w:trPr>
        <w:tc>
          <w:tcPr>
            <w:tcW w:w="3338" w:type="dxa"/>
            <w:tcBorders>
              <w:top w:val="single" w:sz="6" w:space="0" w:color="DDDDDD"/>
              <w:left w:val="nil"/>
              <w:bottom w:val="single" w:sz="6"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24"/>
                <w:szCs w:val="24"/>
              </w:rPr>
            </w:pPr>
          </w:p>
        </w:tc>
        <w:tc>
          <w:tcPr>
            <w:tcW w:w="3263" w:type="dxa"/>
            <w:gridSpan w:val="2"/>
            <w:tcBorders>
              <w:top w:val="single" w:sz="6" w:space="0" w:color="DDDDDD"/>
              <w:left w:val="nil"/>
              <w:bottom w:val="single" w:sz="6"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24"/>
                <w:szCs w:val="24"/>
              </w:rPr>
            </w:pPr>
          </w:p>
        </w:tc>
        <w:tc>
          <w:tcPr>
            <w:tcW w:w="3407" w:type="dxa"/>
            <w:gridSpan w:val="2"/>
            <w:tcBorders>
              <w:top w:val="single" w:sz="6" w:space="0" w:color="DDDDDD"/>
              <w:left w:val="nil"/>
              <w:bottom w:val="single" w:sz="6"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24"/>
                <w:szCs w:val="24"/>
              </w:rPr>
            </w:pPr>
          </w:p>
        </w:tc>
      </w:tr>
      <w:tr w:rsidR="00531C9F" w:rsidRPr="00531C9F" w:rsidTr="00531C9F">
        <w:trPr>
          <w:tblHeader/>
          <w:tblCellSpacing w:w="15" w:type="dxa"/>
        </w:trPr>
        <w:tc>
          <w:tcPr>
            <w:tcW w:w="3338" w:type="dxa"/>
            <w:gridSpan w:val="2"/>
            <w:tcBorders>
              <w:top w:val="single" w:sz="2" w:space="0" w:color="DDDDDD"/>
              <w:left w:val="nil"/>
              <w:bottom w:val="single" w:sz="2"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1"/>
              </w:rPr>
            </w:pPr>
          </w:p>
        </w:tc>
        <w:tc>
          <w:tcPr>
            <w:tcW w:w="3263" w:type="dxa"/>
            <w:gridSpan w:val="2"/>
            <w:tcBorders>
              <w:top w:val="single" w:sz="2" w:space="0" w:color="DDDDDD"/>
              <w:left w:val="nil"/>
              <w:bottom w:val="single" w:sz="2"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1"/>
              </w:rPr>
            </w:pPr>
          </w:p>
        </w:tc>
        <w:tc>
          <w:tcPr>
            <w:tcW w:w="3407" w:type="dxa"/>
            <w:tcBorders>
              <w:top w:val="single" w:sz="2" w:space="0" w:color="DDDDDD"/>
              <w:left w:val="nil"/>
              <w:bottom w:val="single" w:sz="2"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1"/>
              </w:rPr>
            </w:pPr>
          </w:p>
        </w:tc>
      </w:tr>
      <w:tr w:rsidR="00531C9F" w:rsidRPr="00531C9F" w:rsidTr="00531C9F">
        <w:trPr>
          <w:tblCellSpacing w:w="15" w:type="dxa"/>
        </w:trPr>
        <w:tc>
          <w:tcPr>
            <w:tcW w:w="3259" w:type="dxa"/>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Јединствени индентификатор евиденције</w:t>
            </w:r>
          </w:p>
        </w:tc>
        <w:tc>
          <w:tcPr>
            <w:tcW w:w="3382" w:type="dxa"/>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Статус</w:t>
            </w:r>
          </w:p>
        </w:tc>
        <w:tc>
          <w:tcPr>
            <w:tcW w:w="3382" w:type="dxa"/>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Датум евидентирања</w:t>
            </w:r>
          </w:p>
        </w:tc>
      </w:tr>
      <w:tr w:rsidR="00531C9F" w:rsidRPr="00531C9F" w:rsidTr="00531C9F">
        <w:trPr>
          <w:tblCellSpacing w:w="15" w:type="dxa"/>
        </w:trPr>
        <w:tc>
          <w:tcPr>
            <w:tcW w:w="0" w:type="auto"/>
            <w:gridSpan w:val="5"/>
            <w:tcBorders>
              <w:top w:val="nil"/>
              <w:left w:val="nil"/>
              <w:bottom w:val="nil"/>
              <w:right w:val="nil"/>
            </w:tcBorders>
            <w:shd w:val="clear" w:color="auto" w:fill="676767"/>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Број Појединачне евиденције ПДВ</w:t>
            </w:r>
          </w:p>
        </w:tc>
        <w:tc>
          <w:tcPr>
            <w:tcW w:w="0" w:type="auto"/>
            <w:gridSpan w:val="3"/>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Промет по стопи од 20% - S20</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Година</w:t>
            </w:r>
          </w:p>
        </w:tc>
        <w:tc>
          <w:tcPr>
            <w:tcW w:w="0" w:type="auto"/>
            <w:gridSpan w:val="3"/>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Опис</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Порески период</w:t>
            </w:r>
          </w:p>
        </w:tc>
        <w:tc>
          <w:tcPr>
            <w:tcW w:w="0" w:type="auto"/>
            <w:gridSpan w:val="3"/>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Основица</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Период</w:t>
            </w:r>
          </w:p>
        </w:tc>
        <w:tc>
          <w:tcPr>
            <w:tcW w:w="0" w:type="auto"/>
            <w:gridSpan w:val="3"/>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Обрачунати ПДВ</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Промет - Испорука</w:t>
            </w:r>
          </w:p>
        </w:tc>
        <w:tc>
          <w:tcPr>
            <w:tcW w:w="0" w:type="auto"/>
            <w:gridSpan w:val="3"/>
            <w:tcBorders>
              <w:top w:val="nil"/>
              <w:left w:val="nil"/>
              <w:bottom w:val="nil"/>
              <w:right w:val="nil"/>
            </w:tcBorders>
            <w:shd w:val="clear" w:color="auto" w:fill="676767"/>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Идентификатор лица којем се врши промет (ПИБ/ПИБ и ЈБКЈС)</w:t>
            </w:r>
          </w:p>
        </w:tc>
        <w:tc>
          <w:tcPr>
            <w:tcW w:w="0" w:type="auto"/>
            <w:gridSpan w:val="3"/>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Промет по стопи од 10% - S10</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Тип документа - Документ о смањењу</w:t>
            </w:r>
          </w:p>
        </w:tc>
        <w:tc>
          <w:tcPr>
            <w:tcW w:w="0" w:type="auto"/>
            <w:gridSpan w:val="3"/>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Опис</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Број документа</w:t>
            </w:r>
          </w:p>
        </w:tc>
        <w:tc>
          <w:tcPr>
            <w:tcW w:w="0" w:type="auto"/>
            <w:gridSpan w:val="3"/>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Основица</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Повезане фактуре</w:t>
            </w:r>
          </w:p>
        </w:tc>
        <w:tc>
          <w:tcPr>
            <w:tcW w:w="0" w:type="auto"/>
            <w:gridSpan w:val="3"/>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Обрачунати ПДВ</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Ако је алтернатива "Фактура" - Број повезане фактуре</w:t>
            </w:r>
          </w:p>
        </w:tc>
        <w:tc>
          <w:tcPr>
            <w:tcW w:w="0" w:type="auto"/>
            <w:gridSpan w:val="3"/>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Ако је алтернатива "Временски период" - Календар са избором почетка и завршетка периода</w:t>
            </w:r>
          </w:p>
        </w:tc>
        <w:tc>
          <w:tcPr>
            <w:tcW w:w="0" w:type="auto"/>
            <w:gridSpan w:val="3"/>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Укупно обрачунати ПДВ</w:t>
            </w:r>
          </w:p>
        </w:tc>
      </w:tr>
    </w:tbl>
    <w:p w:rsidR="00531C9F" w:rsidRPr="00531C9F" w:rsidRDefault="00531C9F" w:rsidP="00531C9F">
      <w:pPr>
        <w:shd w:val="clear" w:color="auto" w:fill="FFFFFF"/>
        <w:spacing w:after="0" w:line="240" w:lineRule="auto"/>
        <w:textAlignment w:val="baseline"/>
        <w:rPr>
          <w:rFonts w:ascii="Helvetica" w:eastAsia="Times New Roman" w:hAnsi="Helvetica" w:cs="Helvetica"/>
          <w:color w:val="333333"/>
          <w:sz w:val="27"/>
          <w:szCs w:val="27"/>
        </w:rPr>
      </w:pPr>
      <w:r w:rsidRPr="00531C9F">
        <w:rPr>
          <w:rFonts w:ascii="inherit" w:eastAsia="Times New Roman" w:hAnsi="inherit" w:cs="Helvetica"/>
          <w:i/>
          <w:iCs/>
          <w:color w:val="333333"/>
          <w:sz w:val="27"/>
          <w:szCs w:val="27"/>
          <w:bdr w:val="none" w:sz="0" w:space="0" w:color="auto" w:frame="1"/>
        </w:rPr>
        <w:t>4.1 Уколико је одабрана опција „Авансна фактура“:</w:t>
      </w:r>
    </w:p>
    <w:tbl>
      <w:tblPr>
        <w:tblW w:w="10083" w:type="dxa"/>
        <w:tblCellSpacing w:w="15" w:type="dxa"/>
        <w:tblBorders>
          <w:top w:val="single" w:sz="6" w:space="0" w:color="DDDDDD"/>
          <w:left w:val="single" w:sz="6" w:space="0" w:color="DDDDDD"/>
          <w:right w:val="single" w:sz="6" w:space="0" w:color="DDDDDD"/>
        </w:tblBorders>
        <w:tblCellMar>
          <w:top w:w="15" w:type="dxa"/>
          <w:left w:w="15" w:type="dxa"/>
          <w:bottom w:w="15" w:type="dxa"/>
          <w:right w:w="15" w:type="dxa"/>
        </w:tblCellMar>
        <w:tblLook w:val="04A0" w:firstRow="1" w:lastRow="0" w:firstColumn="1" w:lastColumn="0" w:noHBand="0" w:noVBand="1"/>
      </w:tblPr>
      <w:tblGrid>
        <w:gridCol w:w="4768"/>
        <w:gridCol w:w="30"/>
        <w:gridCol w:w="2387"/>
        <w:gridCol w:w="113"/>
        <w:gridCol w:w="2785"/>
      </w:tblGrid>
      <w:tr w:rsidR="00531C9F" w:rsidRPr="00531C9F" w:rsidTr="00531C9F">
        <w:trPr>
          <w:tblHeader/>
          <w:tblCellSpacing w:w="15" w:type="dxa"/>
        </w:trPr>
        <w:tc>
          <w:tcPr>
            <w:tcW w:w="3338" w:type="dxa"/>
            <w:tcBorders>
              <w:top w:val="single" w:sz="6" w:space="0" w:color="DDDDDD"/>
              <w:left w:val="nil"/>
              <w:bottom w:val="single" w:sz="6"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24"/>
                <w:szCs w:val="24"/>
              </w:rPr>
            </w:pPr>
          </w:p>
        </w:tc>
        <w:tc>
          <w:tcPr>
            <w:tcW w:w="3263" w:type="dxa"/>
            <w:gridSpan w:val="2"/>
            <w:tcBorders>
              <w:top w:val="single" w:sz="6" w:space="0" w:color="DDDDDD"/>
              <w:left w:val="nil"/>
              <w:bottom w:val="single" w:sz="6"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24"/>
                <w:szCs w:val="24"/>
              </w:rPr>
            </w:pPr>
          </w:p>
        </w:tc>
        <w:tc>
          <w:tcPr>
            <w:tcW w:w="3407" w:type="dxa"/>
            <w:gridSpan w:val="2"/>
            <w:tcBorders>
              <w:top w:val="single" w:sz="6" w:space="0" w:color="DDDDDD"/>
              <w:left w:val="nil"/>
              <w:bottom w:val="single" w:sz="6"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24"/>
                <w:szCs w:val="24"/>
              </w:rPr>
            </w:pPr>
          </w:p>
        </w:tc>
      </w:tr>
      <w:tr w:rsidR="00531C9F" w:rsidRPr="00531C9F" w:rsidTr="00531C9F">
        <w:trPr>
          <w:tblHeader/>
          <w:tblCellSpacing w:w="15" w:type="dxa"/>
        </w:trPr>
        <w:tc>
          <w:tcPr>
            <w:tcW w:w="3338" w:type="dxa"/>
            <w:gridSpan w:val="2"/>
            <w:tcBorders>
              <w:top w:val="single" w:sz="2" w:space="0" w:color="DDDDDD"/>
              <w:left w:val="nil"/>
              <w:bottom w:val="single" w:sz="2"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1"/>
              </w:rPr>
            </w:pPr>
          </w:p>
        </w:tc>
        <w:tc>
          <w:tcPr>
            <w:tcW w:w="3263" w:type="dxa"/>
            <w:gridSpan w:val="2"/>
            <w:tcBorders>
              <w:top w:val="single" w:sz="2" w:space="0" w:color="DDDDDD"/>
              <w:left w:val="nil"/>
              <w:bottom w:val="single" w:sz="2"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1"/>
              </w:rPr>
            </w:pPr>
          </w:p>
        </w:tc>
        <w:tc>
          <w:tcPr>
            <w:tcW w:w="3407" w:type="dxa"/>
            <w:tcBorders>
              <w:top w:val="single" w:sz="2" w:space="0" w:color="DDDDDD"/>
              <w:left w:val="nil"/>
              <w:bottom w:val="single" w:sz="2"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1"/>
              </w:rPr>
            </w:pPr>
          </w:p>
        </w:tc>
      </w:tr>
      <w:tr w:rsidR="00531C9F" w:rsidRPr="00531C9F" w:rsidTr="00531C9F">
        <w:trPr>
          <w:tblCellSpacing w:w="15" w:type="dxa"/>
        </w:trPr>
        <w:tc>
          <w:tcPr>
            <w:tcW w:w="3259" w:type="dxa"/>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Јединствени индентификатор евиденције</w:t>
            </w:r>
          </w:p>
        </w:tc>
        <w:tc>
          <w:tcPr>
            <w:tcW w:w="3382" w:type="dxa"/>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Статус</w:t>
            </w:r>
          </w:p>
        </w:tc>
        <w:tc>
          <w:tcPr>
            <w:tcW w:w="3382" w:type="dxa"/>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Датум евидентирања</w:t>
            </w:r>
          </w:p>
        </w:tc>
      </w:tr>
      <w:tr w:rsidR="00531C9F" w:rsidRPr="00531C9F" w:rsidTr="00531C9F">
        <w:trPr>
          <w:tblCellSpacing w:w="15" w:type="dxa"/>
        </w:trPr>
        <w:tc>
          <w:tcPr>
            <w:tcW w:w="0" w:type="auto"/>
            <w:gridSpan w:val="5"/>
            <w:tcBorders>
              <w:top w:val="nil"/>
              <w:left w:val="nil"/>
              <w:bottom w:val="nil"/>
              <w:right w:val="nil"/>
            </w:tcBorders>
            <w:shd w:val="clear" w:color="auto" w:fill="676767"/>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lastRenderedPageBreak/>
              <w:t>Број Појединачне евиденције ПДВ</w:t>
            </w:r>
          </w:p>
        </w:tc>
        <w:tc>
          <w:tcPr>
            <w:tcW w:w="0" w:type="auto"/>
            <w:gridSpan w:val="3"/>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Аванс за промет по стопи од 20% - S20</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Година</w:t>
            </w:r>
          </w:p>
        </w:tc>
        <w:tc>
          <w:tcPr>
            <w:tcW w:w="0" w:type="auto"/>
            <w:gridSpan w:val="3"/>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Опис</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Порески период</w:t>
            </w:r>
          </w:p>
        </w:tc>
        <w:tc>
          <w:tcPr>
            <w:tcW w:w="0" w:type="auto"/>
            <w:gridSpan w:val="3"/>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Основица</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Период</w:t>
            </w:r>
          </w:p>
        </w:tc>
        <w:tc>
          <w:tcPr>
            <w:tcW w:w="0" w:type="auto"/>
            <w:gridSpan w:val="3"/>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Обрачунати ПДВ</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Промет - Испорука</w:t>
            </w:r>
          </w:p>
        </w:tc>
        <w:tc>
          <w:tcPr>
            <w:tcW w:w="0" w:type="auto"/>
            <w:gridSpan w:val="3"/>
            <w:tcBorders>
              <w:top w:val="nil"/>
              <w:left w:val="nil"/>
              <w:bottom w:val="nil"/>
              <w:right w:val="nil"/>
            </w:tcBorders>
            <w:shd w:val="clear" w:color="auto" w:fill="676767"/>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Идентификатор лица којем се врши промет (ПИБ/ПИБ и ЈБКЈС)</w:t>
            </w:r>
          </w:p>
        </w:tc>
        <w:tc>
          <w:tcPr>
            <w:tcW w:w="0" w:type="auto"/>
            <w:gridSpan w:val="3"/>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Аванс за промет по стопи од 10% - S10</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Тип документа - Документ о смањењу</w:t>
            </w:r>
          </w:p>
        </w:tc>
        <w:tc>
          <w:tcPr>
            <w:tcW w:w="0" w:type="auto"/>
            <w:gridSpan w:val="3"/>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Опис</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Број документа</w:t>
            </w:r>
          </w:p>
        </w:tc>
        <w:tc>
          <w:tcPr>
            <w:tcW w:w="0" w:type="auto"/>
            <w:gridSpan w:val="3"/>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Основица</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Повезане фактуре</w:t>
            </w:r>
          </w:p>
        </w:tc>
        <w:tc>
          <w:tcPr>
            <w:tcW w:w="0" w:type="auto"/>
            <w:gridSpan w:val="3"/>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Обрачунати ПДВ</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Ако је опција "Авансна фактура" - Број повезане авансне фактуре</w:t>
            </w:r>
          </w:p>
        </w:tc>
        <w:tc>
          <w:tcPr>
            <w:tcW w:w="0" w:type="auto"/>
            <w:gridSpan w:val="3"/>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Укупно обрачунати ПДВ</w:t>
            </w:r>
          </w:p>
        </w:tc>
      </w:tr>
    </w:tbl>
    <w:p w:rsidR="00531C9F" w:rsidRPr="00531C9F" w:rsidRDefault="00531C9F" w:rsidP="00531C9F">
      <w:pPr>
        <w:shd w:val="clear" w:color="auto" w:fill="FFFFFF"/>
        <w:spacing w:after="0" w:line="240" w:lineRule="auto"/>
        <w:jc w:val="center"/>
        <w:textAlignment w:val="baseline"/>
        <w:rPr>
          <w:rFonts w:ascii="Helvetica" w:eastAsia="Times New Roman" w:hAnsi="Helvetica" w:cs="Helvetica"/>
          <w:color w:val="333333"/>
          <w:sz w:val="27"/>
          <w:szCs w:val="27"/>
        </w:rPr>
      </w:pPr>
      <w:r w:rsidRPr="00531C9F">
        <w:rPr>
          <w:rFonts w:ascii="inherit" w:eastAsia="Times New Roman" w:hAnsi="inherit" w:cs="Helvetica"/>
          <w:b/>
          <w:bCs/>
          <w:color w:val="333333"/>
          <w:sz w:val="27"/>
          <w:szCs w:val="27"/>
          <w:bdr w:val="none" w:sz="0" w:space="0" w:color="auto" w:frame="1"/>
        </w:rPr>
        <w:t>ПРОМЕТ – НАБАВКА</w:t>
      </w:r>
    </w:p>
    <w:p w:rsidR="00531C9F" w:rsidRPr="00531C9F" w:rsidRDefault="00531C9F" w:rsidP="00531C9F">
      <w:pPr>
        <w:shd w:val="clear" w:color="auto" w:fill="FFFFFF"/>
        <w:spacing w:after="0" w:line="240" w:lineRule="auto"/>
        <w:textAlignment w:val="baseline"/>
        <w:rPr>
          <w:rFonts w:ascii="Helvetica" w:eastAsia="Times New Roman" w:hAnsi="Helvetica" w:cs="Helvetica"/>
          <w:color w:val="333333"/>
          <w:sz w:val="27"/>
          <w:szCs w:val="27"/>
        </w:rPr>
      </w:pPr>
      <w:r w:rsidRPr="00531C9F">
        <w:rPr>
          <w:rFonts w:ascii="inherit" w:eastAsia="Times New Roman" w:hAnsi="inherit" w:cs="Helvetica"/>
          <w:b/>
          <w:bCs/>
          <w:color w:val="333333"/>
          <w:sz w:val="27"/>
          <w:szCs w:val="27"/>
          <w:bdr w:val="none" w:sz="0" w:space="0" w:color="auto" w:frame="1"/>
        </w:rPr>
        <w:t>1. Тип документа – Интерни рачун – страно лице</w:t>
      </w:r>
    </w:p>
    <w:p w:rsidR="00531C9F" w:rsidRPr="00531C9F" w:rsidRDefault="00531C9F" w:rsidP="00531C9F">
      <w:pPr>
        <w:shd w:val="clear" w:color="auto" w:fill="FFFFFF"/>
        <w:spacing w:after="450" w:line="240" w:lineRule="auto"/>
        <w:textAlignment w:val="baseline"/>
        <w:rPr>
          <w:rFonts w:ascii="Helvetica" w:eastAsia="Times New Roman" w:hAnsi="Helvetica" w:cs="Helvetica"/>
          <w:color w:val="333333"/>
          <w:sz w:val="27"/>
          <w:szCs w:val="27"/>
        </w:rPr>
      </w:pPr>
      <w:r w:rsidRPr="00531C9F">
        <w:rPr>
          <w:rFonts w:ascii="Helvetica" w:eastAsia="Times New Roman" w:hAnsi="Helvetica" w:cs="Helvetica"/>
          <w:color w:val="333333"/>
          <w:sz w:val="27"/>
          <w:szCs w:val="27"/>
        </w:rPr>
        <w:t>1.1. Основ одабира – Промет</w:t>
      </w:r>
    </w:p>
    <w:tbl>
      <w:tblPr>
        <w:tblW w:w="10083" w:type="dxa"/>
        <w:tblCellSpacing w:w="15" w:type="dxa"/>
        <w:tblBorders>
          <w:top w:val="single" w:sz="6" w:space="0" w:color="DDDDDD"/>
          <w:left w:val="single" w:sz="6" w:space="0" w:color="DDDDDD"/>
          <w:right w:val="single" w:sz="6" w:space="0" w:color="DDDDDD"/>
        </w:tblBorders>
        <w:tblCellMar>
          <w:top w:w="15" w:type="dxa"/>
          <w:left w:w="15" w:type="dxa"/>
          <w:bottom w:w="15" w:type="dxa"/>
          <w:right w:w="15" w:type="dxa"/>
        </w:tblCellMar>
        <w:tblLook w:val="04A0" w:firstRow="1" w:lastRow="0" w:firstColumn="1" w:lastColumn="0" w:noHBand="0" w:noVBand="1"/>
      </w:tblPr>
      <w:tblGrid>
        <w:gridCol w:w="2578"/>
        <w:gridCol w:w="30"/>
        <w:gridCol w:w="1804"/>
        <w:gridCol w:w="30"/>
        <w:gridCol w:w="1732"/>
        <w:gridCol w:w="30"/>
        <w:gridCol w:w="1953"/>
        <w:gridCol w:w="30"/>
        <w:gridCol w:w="1896"/>
      </w:tblGrid>
      <w:tr w:rsidR="00531C9F" w:rsidRPr="00531C9F" w:rsidTr="00531C9F">
        <w:trPr>
          <w:tblHeader/>
          <w:tblCellSpacing w:w="15" w:type="dxa"/>
        </w:trPr>
        <w:tc>
          <w:tcPr>
            <w:tcW w:w="3423" w:type="dxa"/>
            <w:gridSpan w:val="2"/>
            <w:tcBorders>
              <w:top w:val="single" w:sz="6" w:space="0" w:color="DDDDDD"/>
              <w:left w:val="nil"/>
              <w:bottom w:val="single" w:sz="6"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24"/>
                <w:szCs w:val="24"/>
              </w:rPr>
            </w:pPr>
          </w:p>
        </w:tc>
        <w:tc>
          <w:tcPr>
            <w:tcW w:w="1635" w:type="dxa"/>
            <w:gridSpan w:val="2"/>
            <w:tcBorders>
              <w:top w:val="single" w:sz="6" w:space="0" w:color="DDDDDD"/>
              <w:left w:val="nil"/>
              <w:bottom w:val="single" w:sz="6"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24"/>
                <w:szCs w:val="24"/>
              </w:rPr>
            </w:pPr>
          </w:p>
        </w:tc>
        <w:tc>
          <w:tcPr>
            <w:tcW w:w="1628" w:type="dxa"/>
            <w:gridSpan w:val="2"/>
            <w:tcBorders>
              <w:top w:val="single" w:sz="6" w:space="0" w:color="DDDDDD"/>
              <w:left w:val="nil"/>
              <w:bottom w:val="single" w:sz="6"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24"/>
                <w:szCs w:val="24"/>
              </w:rPr>
            </w:pPr>
          </w:p>
        </w:tc>
        <w:tc>
          <w:tcPr>
            <w:tcW w:w="1650" w:type="dxa"/>
            <w:gridSpan w:val="2"/>
            <w:tcBorders>
              <w:top w:val="single" w:sz="6" w:space="0" w:color="DDDDDD"/>
              <w:left w:val="nil"/>
              <w:bottom w:val="single" w:sz="6"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24"/>
                <w:szCs w:val="24"/>
              </w:rPr>
            </w:pPr>
          </w:p>
        </w:tc>
        <w:tc>
          <w:tcPr>
            <w:tcW w:w="1643" w:type="dxa"/>
            <w:tcBorders>
              <w:top w:val="single" w:sz="6" w:space="0" w:color="DDDDDD"/>
              <w:left w:val="nil"/>
              <w:bottom w:val="single" w:sz="6"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24"/>
                <w:szCs w:val="24"/>
              </w:rPr>
            </w:pPr>
          </w:p>
        </w:tc>
      </w:tr>
      <w:tr w:rsidR="00531C9F" w:rsidRPr="00531C9F" w:rsidTr="00531C9F">
        <w:trPr>
          <w:tblHeader/>
          <w:tblCellSpacing w:w="15" w:type="dxa"/>
        </w:trPr>
        <w:tc>
          <w:tcPr>
            <w:tcW w:w="3423" w:type="dxa"/>
            <w:tcBorders>
              <w:top w:val="single" w:sz="2" w:space="0" w:color="DDDDDD"/>
              <w:left w:val="nil"/>
              <w:bottom w:val="single" w:sz="2"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1"/>
              </w:rPr>
            </w:pPr>
          </w:p>
        </w:tc>
        <w:tc>
          <w:tcPr>
            <w:tcW w:w="1635" w:type="dxa"/>
            <w:gridSpan w:val="2"/>
            <w:tcBorders>
              <w:top w:val="single" w:sz="2" w:space="0" w:color="DDDDDD"/>
              <w:left w:val="nil"/>
              <w:bottom w:val="single" w:sz="2"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1"/>
              </w:rPr>
            </w:pPr>
          </w:p>
        </w:tc>
        <w:tc>
          <w:tcPr>
            <w:tcW w:w="1628" w:type="dxa"/>
            <w:gridSpan w:val="2"/>
            <w:tcBorders>
              <w:top w:val="single" w:sz="2" w:space="0" w:color="DDDDDD"/>
              <w:left w:val="nil"/>
              <w:bottom w:val="single" w:sz="2"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1"/>
              </w:rPr>
            </w:pPr>
          </w:p>
        </w:tc>
        <w:tc>
          <w:tcPr>
            <w:tcW w:w="1650" w:type="dxa"/>
            <w:gridSpan w:val="2"/>
            <w:tcBorders>
              <w:top w:val="single" w:sz="2" w:space="0" w:color="DDDDDD"/>
              <w:left w:val="nil"/>
              <w:bottom w:val="single" w:sz="2"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1"/>
              </w:rPr>
            </w:pPr>
          </w:p>
        </w:tc>
        <w:tc>
          <w:tcPr>
            <w:tcW w:w="1643" w:type="dxa"/>
            <w:gridSpan w:val="2"/>
            <w:tcBorders>
              <w:top w:val="single" w:sz="2" w:space="0" w:color="DDDDDD"/>
              <w:left w:val="nil"/>
              <w:bottom w:val="single" w:sz="2"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1"/>
              </w:rPr>
            </w:pPr>
          </w:p>
        </w:tc>
      </w:tr>
      <w:tr w:rsidR="00531C9F" w:rsidRPr="00531C9F" w:rsidTr="00531C9F">
        <w:trPr>
          <w:tblCellSpacing w:w="15" w:type="dxa"/>
        </w:trPr>
        <w:tc>
          <w:tcPr>
            <w:tcW w:w="3108" w:type="dxa"/>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Јединствени индентификатор евиденције</w:t>
            </w:r>
          </w:p>
        </w:tc>
        <w:tc>
          <w:tcPr>
            <w:tcW w:w="1721" w:type="dxa"/>
            <w:gridSpan w:val="4"/>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Статус</w:t>
            </w:r>
          </w:p>
        </w:tc>
        <w:tc>
          <w:tcPr>
            <w:tcW w:w="1721" w:type="dxa"/>
            <w:gridSpan w:val="4"/>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Датум евидентирања</w:t>
            </w:r>
          </w:p>
        </w:tc>
      </w:tr>
      <w:tr w:rsidR="00531C9F" w:rsidRPr="00531C9F" w:rsidTr="00531C9F">
        <w:trPr>
          <w:tblCellSpacing w:w="15" w:type="dxa"/>
        </w:trPr>
        <w:tc>
          <w:tcPr>
            <w:tcW w:w="0" w:type="auto"/>
            <w:gridSpan w:val="9"/>
            <w:tcBorders>
              <w:top w:val="nil"/>
              <w:left w:val="nil"/>
              <w:bottom w:val="nil"/>
              <w:right w:val="nil"/>
            </w:tcBorders>
            <w:shd w:val="clear" w:color="auto" w:fill="676767"/>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p>
        </w:tc>
      </w:tr>
      <w:tr w:rsidR="00531C9F" w:rsidRPr="00531C9F" w:rsidTr="00531C9F">
        <w:trPr>
          <w:tblCellSpacing w:w="15" w:type="dxa"/>
        </w:trPr>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Број Појединачне евиденције ПДВ</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Промет по стопи од 20% - AE20, осим OBJ</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Промет по стопи од 20% - AE20-OBJ</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Промет без накнаде по стопи од 20% - AE20, осим OBJ</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Промет без накнаде по стопи од 20% - AE20-OBJ</w:t>
            </w:r>
          </w:p>
        </w:tc>
      </w:tr>
      <w:tr w:rsidR="00531C9F" w:rsidRPr="00531C9F" w:rsidTr="00531C9F">
        <w:trPr>
          <w:tblCellSpacing w:w="15" w:type="dxa"/>
        </w:trPr>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Година</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Опис</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Опис</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Опис</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Опис</w:t>
            </w:r>
          </w:p>
        </w:tc>
      </w:tr>
      <w:tr w:rsidR="00531C9F" w:rsidRPr="00531C9F" w:rsidTr="00531C9F">
        <w:trPr>
          <w:tblCellSpacing w:w="15" w:type="dxa"/>
        </w:trPr>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Порески период</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Основица</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Основица</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Основица</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Основица</w:t>
            </w:r>
          </w:p>
        </w:tc>
      </w:tr>
      <w:tr w:rsidR="00531C9F" w:rsidRPr="00531C9F" w:rsidTr="00531C9F">
        <w:trPr>
          <w:tblCellSpacing w:w="15" w:type="dxa"/>
        </w:trPr>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Период</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Обрачунати ПДВ</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Обрачунати ПДВ</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Обрачунати ПДВ</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Обрачунати ПДВ</w:t>
            </w:r>
          </w:p>
        </w:tc>
      </w:tr>
      <w:tr w:rsidR="00531C9F" w:rsidRPr="00531C9F" w:rsidTr="00531C9F">
        <w:trPr>
          <w:tblCellSpacing w:w="15" w:type="dxa"/>
        </w:trPr>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Промет - Набавка</w:t>
            </w:r>
          </w:p>
        </w:tc>
        <w:tc>
          <w:tcPr>
            <w:tcW w:w="0" w:type="auto"/>
            <w:gridSpan w:val="8"/>
            <w:tcBorders>
              <w:top w:val="nil"/>
              <w:left w:val="nil"/>
              <w:bottom w:val="nil"/>
              <w:right w:val="nil"/>
            </w:tcBorders>
            <w:shd w:val="clear" w:color="auto" w:fill="676767"/>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p>
        </w:tc>
      </w:tr>
      <w:tr w:rsidR="00531C9F" w:rsidRPr="00531C9F" w:rsidTr="00531C9F">
        <w:trPr>
          <w:tblCellSpacing w:w="15" w:type="dxa"/>
        </w:trPr>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 xml:space="preserve">Идентификатор лица </w:t>
            </w:r>
            <w:r w:rsidRPr="00531C9F">
              <w:rPr>
                <w:rFonts w:ascii="inherit" w:eastAsia="Times New Roman" w:hAnsi="inherit" w:cs="Times New Roman"/>
              </w:rPr>
              <w:lastRenderedPageBreak/>
              <w:t>којем се врши промет (Порески број страног лица)</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lastRenderedPageBreak/>
              <w:t xml:space="preserve">Промет по </w:t>
            </w:r>
            <w:r w:rsidRPr="00531C9F">
              <w:rPr>
                <w:rFonts w:ascii="inherit" w:eastAsia="Times New Roman" w:hAnsi="inherit" w:cs="Times New Roman"/>
              </w:rPr>
              <w:lastRenderedPageBreak/>
              <w:t>стопи од 10% - AE10, осим OBJ</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lastRenderedPageBreak/>
              <w:t xml:space="preserve">Промет по </w:t>
            </w:r>
            <w:r w:rsidRPr="00531C9F">
              <w:rPr>
                <w:rFonts w:ascii="inherit" w:eastAsia="Times New Roman" w:hAnsi="inherit" w:cs="Times New Roman"/>
              </w:rPr>
              <w:lastRenderedPageBreak/>
              <w:t>стопи од 10% - AE10-OBJ</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lastRenderedPageBreak/>
              <w:t xml:space="preserve">Промет без </w:t>
            </w:r>
            <w:r w:rsidRPr="00531C9F">
              <w:rPr>
                <w:rFonts w:ascii="inherit" w:eastAsia="Times New Roman" w:hAnsi="inherit" w:cs="Times New Roman"/>
              </w:rPr>
              <w:lastRenderedPageBreak/>
              <w:t>накнаде по стопи од 10% - AE10, осим OBJ</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lastRenderedPageBreak/>
              <w:t xml:space="preserve">Промет без </w:t>
            </w:r>
            <w:r w:rsidRPr="00531C9F">
              <w:rPr>
                <w:rFonts w:ascii="inherit" w:eastAsia="Times New Roman" w:hAnsi="inherit" w:cs="Times New Roman"/>
              </w:rPr>
              <w:lastRenderedPageBreak/>
              <w:t>накнаде по стопи од 10% - AE10-OBJ</w:t>
            </w:r>
          </w:p>
        </w:tc>
      </w:tr>
      <w:tr w:rsidR="00531C9F" w:rsidRPr="00531C9F" w:rsidTr="00531C9F">
        <w:trPr>
          <w:tblCellSpacing w:w="15" w:type="dxa"/>
        </w:trPr>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lastRenderedPageBreak/>
              <w:t>Тип документа - Интерни рачун - страно лице</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Опис</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Опис</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Опис</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Опис</w:t>
            </w:r>
          </w:p>
        </w:tc>
      </w:tr>
      <w:tr w:rsidR="00531C9F" w:rsidRPr="00531C9F" w:rsidTr="00531C9F">
        <w:trPr>
          <w:tblCellSpacing w:w="15" w:type="dxa"/>
        </w:trPr>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Број интерног рачуна</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Основица</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Основица</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Основица</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Основица</w:t>
            </w:r>
          </w:p>
        </w:tc>
      </w:tr>
      <w:tr w:rsidR="00531C9F" w:rsidRPr="00531C9F" w:rsidTr="00531C9F">
        <w:trPr>
          <w:tblCellSpacing w:w="15" w:type="dxa"/>
        </w:trPr>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Основ одабира документа - промет</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Обрачунати ПДВ</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Обрачунати ПДВ</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Обрачунати ПДВ</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Обрачунати ПДВ</w:t>
            </w:r>
          </w:p>
        </w:tc>
      </w:tr>
      <w:tr w:rsidR="00531C9F" w:rsidRPr="00531C9F" w:rsidTr="00531C9F">
        <w:trPr>
          <w:tblCellSpacing w:w="15" w:type="dxa"/>
        </w:trPr>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Повезани интерни рачуни за аванс</w:t>
            </w:r>
          </w:p>
        </w:tc>
        <w:tc>
          <w:tcPr>
            <w:tcW w:w="0" w:type="auto"/>
            <w:gridSpan w:val="8"/>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Укупно обрачунати ПДВ</w:t>
            </w:r>
          </w:p>
        </w:tc>
      </w:tr>
    </w:tbl>
    <w:p w:rsidR="00531C9F" w:rsidRPr="00531C9F" w:rsidRDefault="00531C9F" w:rsidP="00531C9F">
      <w:pPr>
        <w:shd w:val="clear" w:color="auto" w:fill="FFFFFF"/>
        <w:spacing w:after="450" w:line="240" w:lineRule="auto"/>
        <w:textAlignment w:val="baseline"/>
        <w:rPr>
          <w:rFonts w:ascii="Helvetica" w:eastAsia="Times New Roman" w:hAnsi="Helvetica" w:cs="Helvetica"/>
          <w:color w:val="333333"/>
          <w:sz w:val="27"/>
          <w:szCs w:val="27"/>
        </w:rPr>
      </w:pPr>
      <w:r w:rsidRPr="00531C9F">
        <w:rPr>
          <w:rFonts w:ascii="Helvetica" w:eastAsia="Times New Roman" w:hAnsi="Helvetica" w:cs="Helvetica"/>
          <w:color w:val="333333"/>
          <w:sz w:val="27"/>
          <w:szCs w:val="27"/>
        </w:rPr>
        <w:t>1.2. Основ одабира – Аванс</w:t>
      </w:r>
    </w:p>
    <w:tbl>
      <w:tblPr>
        <w:tblW w:w="10083" w:type="dxa"/>
        <w:tblCellSpacing w:w="15" w:type="dxa"/>
        <w:tblBorders>
          <w:top w:val="single" w:sz="6" w:space="0" w:color="DDDDDD"/>
          <w:left w:val="single" w:sz="6" w:space="0" w:color="DDDDDD"/>
          <w:right w:val="single" w:sz="6" w:space="0" w:color="DDDDDD"/>
        </w:tblBorders>
        <w:tblCellMar>
          <w:top w:w="15" w:type="dxa"/>
          <w:left w:w="15" w:type="dxa"/>
          <w:bottom w:w="15" w:type="dxa"/>
          <w:right w:w="15" w:type="dxa"/>
        </w:tblCellMar>
        <w:tblLook w:val="04A0" w:firstRow="1" w:lastRow="0" w:firstColumn="1" w:lastColumn="0" w:noHBand="0" w:noVBand="1"/>
      </w:tblPr>
      <w:tblGrid>
        <w:gridCol w:w="4039"/>
        <w:gridCol w:w="76"/>
        <w:gridCol w:w="2960"/>
        <w:gridCol w:w="77"/>
        <w:gridCol w:w="2931"/>
      </w:tblGrid>
      <w:tr w:rsidR="00531C9F" w:rsidRPr="00531C9F" w:rsidTr="00531C9F">
        <w:trPr>
          <w:tblHeader/>
          <w:tblCellSpacing w:w="15" w:type="dxa"/>
        </w:trPr>
        <w:tc>
          <w:tcPr>
            <w:tcW w:w="3911" w:type="dxa"/>
            <w:tcBorders>
              <w:top w:val="single" w:sz="6" w:space="0" w:color="DDDDDD"/>
              <w:left w:val="nil"/>
              <w:bottom w:val="single" w:sz="6"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24"/>
                <w:szCs w:val="24"/>
              </w:rPr>
            </w:pPr>
          </w:p>
        </w:tc>
        <w:tc>
          <w:tcPr>
            <w:tcW w:w="2962" w:type="dxa"/>
            <w:gridSpan w:val="2"/>
            <w:tcBorders>
              <w:top w:val="single" w:sz="6" w:space="0" w:color="DDDDDD"/>
              <w:left w:val="nil"/>
              <w:bottom w:val="single" w:sz="6"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24"/>
                <w:szCs w:val="24"/>
              </w:rPr>
            </w:pPr>
          </w:p>
        </w:tc>
        <w:tc>
          <w:tcPr>
            <w:tcW w:w="3136" w:type="dxa"/>
            <w:gridSpan w:val="2"/>
            <w:tcBorders>
              <w:top w:val="single" w:sz="6" w:space="0" w:color="DDDDDD"/>
              <w:left w:val="nil"/>
              <w:bottom w:val="single" w:sz="6"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24"/>
                <w:szCs w:val="24"/>
              </w:rPr>
            </w:pPr>
          </w:p>
        </w:tc>
      </w:tr>
      <w:tr w:rsidR="00531C9F" w:rsidRPr="00531C9F" w:rsidTr="00531C9F">
        <w:trPr>
          <w:tblHeader/>
          <w:tblCellSpacing w:w="15" w:type="dxa"/>
        </w:trPr>
        <w:tc>
          <w:tcPr>
            <w:tcW w:w="3911" w:type="dxa"/>
            <w:gridSpan w:val="2"/>
            <w:tcBorders>
              <w:top w:val="single" w:sz="2" w:space="0" w:color="DDDDDD"/>
              <w:left w:val="nil"/>
              <w:bottom w:val="single" w:sz="2"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1"/>
              </w:rPr>
            </w:pPr>
          </w:p>
        </w:tc>
        <w:tc>
          <w:tcPr>
            <w:tcW w:w="2962" w:type="dxa"/>
            <w:gridSpan w:val="2"/>
            <w:tcBorders>
              <w:top w:val="single" w:sz="2" w:space="0" w:color="DDDDDD"/>
              <w:left w:val="nil"/>
              <w:bottom w:val="single" w:sz="2"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1"/>
              </w:rPr>
            </w:pPr>
          </w:p>
        </w:tc>
        <w:tc>
          <w:tcPr>
            <w:tcW w:w="3136" w:type="dxa"/>
            <w:tcBorders>
              <w:top w:val="single" w:sz="2" w:space="0" w:color="DDDDDD"/>
              <w:left w:val="nil"/>
              <w:bottom w:val="single" w:sz="2"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1"/>
              </w:rPr>
            </w:pPr>
          </w:p>
        </w:tc>
      </w:tr>
      <w:tr w:rsidR="00531C9F" w:rsidRPr="00531C9F" w:rsidTr="00531C9F">
        <w:trPr>
          <w:tblCellSpacing w:w="15" w:type="dxa"/>
        </w:trPr>
        <w:tc>
          <w:tcPr>
            <w:tcW w:w="3989" w:type="dxa"/>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Јединствени индентификатор евиденције</w:t>
            </w:r>
          </w:p>
        </w:tc>
        <w:tc>
          <w:tcPr>
            <w:tcW w:w="2942" w:type="dxa"/>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Статус</w:t>
            </w:r>
          </w:p>
        </w:tc>
        <w:tc>
          <w:tcPr>
            <w:tcW w:w="3092" w:type="dxa"/>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Датум евидентирања</w:t>
            </w:r>
          </w:p>
        </w:tc>
      </w:tr>
      <w:tr w:rsidR="00531C9F" w:rsidRPr="00531C9F" w:rsidTr="00531C9F">
        <w:trPr>
          <w:tblCellSpacing w:w="15" w:type="dxa"/>
        </w:trPr>
        <w:tc>
          <w:tcPr>
            <w:tcW w:w="0" w:type="auto"/>
            <w:gridSpan w:val="5"/>
            <w:tcBorders>
              <w:top w:val="nil"/>
              <w:left w:val="nil"/>
              <w:bottom w:val="nil"/>
              <w:right w:val="nil"/>
            </w:tcBorders>
            <w:shd w:val="clear" w:color="auto" w:fill="676767"/>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Број Појединачне евиденције ПДВ</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Аванс за промет по стопи од 20% - AE20, осим OBJ</w:t>
            </w: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Аванс за промет по стопи од 20% - AE20-OBJ</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Година</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Опис</w:t>
            </w: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Опис</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Порески период</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Основица</w:t>
            </w: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Основица</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Период</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Обрачунати ПДВ</w:t>
            </w: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Обрачунати ПДВ</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Промет - Набавка</w:t>
            </w:r>
          </w:p>
        </w:tc>
        <w:tc>
          <w:tcPr>
            <w:tcW w:w="0" w:type="auto"/>
            <w:gridSpan w:val="3"/>
            <w:tcBorders>
              <w:top w:val="nil"/>
              <w:left w:val="nil"/>
              <w:bottom w:val="nil"/>
              <w:right w:val="nil"/>
            </w:tcBorders>
            <w:shd w:val="clear" w:color="auto" w:fill="676767"/>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Идентификатор лица којем се врши промет (Порески број страног лица)</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Аванс за промет по стопи од 10% - AE10, осим OBJ</w:t>
            </w: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Аванс за промет по стопи од 10% - AE10-OBJ</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Тип документа - Интерни рачун - страно лице</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Опис</w:t>
            </w: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Опис</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Број интерног рачуна</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Основица</w:t>
            </w: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Основица</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Основ одабира документа - Аванс</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Обрачунати ПДВ</w:t>
            </w: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Обрачунати ПДВ</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Датум аванса</w:t>
            </w:r>
          </w:p>
        </w:tc>
        <w:tc>
          <w:tcPr>
            <w:tcW w:w="0" w:type="auto"/>
            <w:gridSpan w:val="3"/>
            <w:tcBorders>
              <w:top w:val="nil"/>
              <w:left w:val="nil"/>
              <w:bottom w:val="nil"/>
              <w:right w:val="nil"/>
            </w:tcBorders>
            <w:shd w:val="clear" w:color="auto" w:fill="676767"/>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bottom"/>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Основ за авансно плаћање</w:t>
            </w:r>
          </w:p>
        </w:tc>
        <w:tc>
          <w:tcPr>
            <w:tcW w:w="0" w:type="auto"/>
            <w:gridSpan w:val="3"/>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Укупно обрачунати ПДВ</w:t>
            </w:r>
          </w:p>
        </w:tc>
      </w:tr>
    </w:tbl>
    <w:p w:rsidR="00531C9F" w:rsidRPr="00531C9F" w:rsidRDefault="00531C9F" w:rsidP="00531C9F">
      <w:pPr>
        <w:shd w:val="clear" w:color="auto" w:fill="FFFFFF"/>
        <w:spacing w:after="450" w:line="240" w:lineRule="auto"/>
        <w:textAlignment w:val="baseline"/>
        <w:rPr>
          <w:rFonts w:ascii="Helvetica" w:eastAsia="Times New Roman" w:hAnsi="Helvetica" w:cs="Helvetica"/>
          <w:color w:val="333333"/>
          <w:sz w:val="27"/>
          <w:szCs w:val="27"/>
        </w:rPr>
      </w:pPr>
      <w:r w:rsidRPr="00531C9F">
        <w:rPr>
          <w:rFonts w:ascii="Helvetica" w:eastAsia="Times New Roman" w:hAnsi="Helvetica" w:cs="Helvetica"/>
          <w:color w:val="333333"/>
          <w:sz w:val="27"/>
          <w:szCs w:val="27"/>
        </w:rPr>
        <w:lastRenderedPageBreak/>
        <w:t>1.3. Основ одабира – Повећање</w:t>
      </w:r>
    </w:p>
    <w:tbl>
      <w:tblPr>
        <w:tblW w:w="10083" w:type="dxa"/>
        <w:tblCellSpacing w:w="15" w:type="dxa"/>
        <w:tblBorders>
          <w:top w:val="single" w:sz="6" w:space="0" w:color="DDDDDD"/>
          <w:left w:val="single" w:sz="6" w:space="0" w:color="DDDDDD"/>
          <w:right w:val="single" w:sz="6" w:space="0" w:color="DDDDDD"/>
        </w:tblBorders>
        <w:tblCellMar>
          <w:top w:w="15" w:type="dxa"/>
          <w:left w:w="15" w:type="dxa"/>
          <w:bottom w:w="15" w:type="dxa"/>
          <w:right w:w="15" w:type="dxa"/>
        </w:tblCellMar>
        <w:tblLook w:val="04A0" w:firstRow="1" w:lastRow="0" w:firstColumn="1" w:lastColumn="0" w:noHBand="0" w:noVBand="1"/>
      </w:tblPr>
      <w:tblGrid>
        <w:gridCol w:w="4389"/>
        <w:gridCol w:w="81"/>
        <w:gridCol w:w="2811"/>
        <w:gridCol w:w="74"/>
        <w:gridCol w:w="2728"/>
      </w:tblGrid>
      <w:tr w:rsidR="00531C9F" w:rsidRPr="00531C9F" w:rsidTr="00531C9F">
        <w:trPr>
          <w:tblHeader/>
          <w:tblCellSpacing w:w="15" w:type="dxa"/>
        </w:trPr>
        <w:tc>
          <w:tcPr>
            <w:tcW w:w="3911" w:type="dxa"/>
            <w:tcBorders>
              <w:top w:val="single" w:sz="6" w:space="0" w:color="DDDDDD"/>
              <w:left w:val="nil"/>
              <w:bottom w:val="single" w:sz="6"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24"/>
                <w:szCs w:val="24"/>
              </w:rPr>
            </w:pPr>
          </w:p>
        </w:tc>
        <w:tc>
          <w:tcPr>
            <w:tcW w:w="2962" w:type="dxa"/>
            <w:gridSpan w:val="2"/>
            <w:tcBorders>
              <w:top w:val="single" w:sz="6" w:space="0" w:color="DDDDDD"/>
              <w:left w:val="nil"/>
              <w:bottom w:val="single" w:sz="6"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24"/>
                <w:szCs w:val="24"/>
              </w:rPr>
            </w:pPr>
          </w:p>
        </w:tc>
        <w:tc>
          <w:tcPr>
            <w:tcW w:w="3136" w:type="dxa"/>
            <w:gridSpan w:val="2"/>
            <w:tcBorders>
              <w:top w:val="single" w:sz="6" w:space="0" w:color="DDDDDD"/>
              <w:left w:val="nil"/>
              <w:bottom w:val="single" w:sz="6"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24"/>
                <w:szCs w:val="24"/>
              </w:rPr>
            </w:pPr>
          </w:p>
        </w:tc>
      </w:tr>
      <w:tr w:rsidR="00531C9F" w:rsidRPr="00531C9F" w:rsidTr="00531C9F">
        <w:trPr>
          <w:tblHeader/>
          <w:tblCellSpacing w:w="15" w:type="dxa"/>
        </w:trPr>
        <w:tc>
          <w:tcPr>
            <w:tcW w:w="3911" w:type="dxa"/>
            <w:gridSpan w:val="2"/>
            <w:tcBorders>
              <w:top w:val="single" w:sz="2" w:space="0" w:color="DDDDDD"/>
              <w:left w:val="nil"/>
              <w:bottom w:val="single" w:sz="2"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1"/>
              </w:rPr>
            </w:pPr>
          </w:p>
        </w:tc>
        <w:tc>
          <w:tcPr>
            <w:tcW w:w="2962" w:type="dxa"/>
            <w:gridSpan w:val="2"/>
            <w:tcBorders>
              <w:top w:val="single" w:sz="2" w:space="0" w:color="DDDDDD"/>
              <w:left w:val="nil"/>
              <w:bottom w:val="single" w:sz="2"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1"/>
              </w:rPr>
            </w:pPr>
          </w:p>
        </w:tc>
        <w:tc>
          <w:tcPr>
            <w:tcW w:w="3136" w:type="dxa"/>
            <w:tcBorders>
              <w:top w:val="single" w:sz="2" w:space="0" w:color="DDDDDD"/>
              <w:left w:val="nil"/>
              <w:bottom w:val="single" w:sz="2"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1"/>
              </w:rPr>
            </w:pPr>
          </w:p>
        </w:tc>
      </w:tr>
      <w:tr w:rsidR="00531C9F" w:rsidRPr="00531C9F" w:rsidTr="00531C9F">
        <w:trPr>
          <w:tblCellSpacing w:w="15" w:type="dxa"/>
        </w:trPr>
        <w:tc>
          <w:tcPr>
            <w:tcW w:w="3989" w:type="dxa"/>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Јединствени индентификатор евиденције</w:t>
            </w:r>
          </w:p>
        </w:tc>
        <w:tc>
          <w:tcPr>
            <w:tcW w:w="2942" w:type="dxa"/>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Статус</w:t>
            </w:r>
          </w:p>
        </w:tc>
        <w:tc>
          <w:tcPr>
            <w:tcW w:w="3092" w:type="dxa"/>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Датум евидентирања</w:t>
            </w:r>
          </w:p>
        </w:tc>
      </w:tr>
      <w:tr w:rsidR="00531C9F" w:rsidRPr="00531C9F" w:rsidTr="00531C9F">
        <w:trPr>
          <w:tblCellSpacing w:w="15" w:type="dxa"/>
        </w:trPr>
        <w:tc>
          <w:tcPr>
            <w:tcW w:w="0" w:type="auto"/>
            <w:gridSpan w:val="5"/>
            <w:tcBorders>
              <w:top w:val="nil"/>
              <w:left w:val="nil"/>
              <w:bottom w:val="nil"/>
              <w:right w:val="nil"/>
            </w:tcBorders>
            <w:shd w:val="clear" w:color="auto" w:fill="676767"/>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Број Појединачне евиденције ПДВ</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Промет по стопи од 20% - AE20, осим OBJ</w:t>
            </w: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Промет по стопи од 20% - AE20-OBJ</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Година</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Опис</w:t>
            </w: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Опис</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Порески период</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Основица</w:t>
            </w: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Основица</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Период</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Обрачунати ПДВ</w:t>
            </w: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Обрачунати ПДВ</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Промет - Набавка</w:t>
            </w:r>
          </w:p>
        </w:tc>
        <w:tc>
          <w:tcPr>
            <w:tcW w:w="0" w:type="auto"/>
            <w:gridSpan w:val="3"/>
            <w:tcBorders>
              <w:top w:val="nil"/>
              <w:left w:val="nil"/>
              <w:bottom w:val="nil"/>
              <w:right w:val="nil"/>
            </w:tcBorders>
            <w:shd w:val="clear" w:color="auto" w:fill="676767"/>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Идентификатор лица којем се врши промет (Порески број страног лица)</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Промет по стопи од 10% - AE10, осим OBJ</w:t>
            </w: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Промет по стопи од 10% - AE10-OBJ</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Тип документа - Интерни рачун - страно лице</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Опис</w:t>
            </w: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Опис</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Број интерног рачуна</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Основица</w:t>
            </w: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Основица</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Основ одабира документа - Повећање</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Обрачунати ПДВ</w:t>
            </w: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Обрачунати ПДВ</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Повезани интерни рачун за промет</w:t>
            </w:r>
          </w:p>
        </w:tc>
        <w:tc>
          <w:tcPr>
            <w:tcW w:w="0" w:type="auto"/>
            <w:gridSpan w:val="3"/>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Укупно обрачунати ПДВ</w:t>
            </w:r>
          </w:p>
        </w:tc>
      </w:tr>
    </w:tbl>
    <w:p w:rsidR="00531C9F" w:rsidRPr="00531C9F" w:rsidRDefault="00531C9F" w:rsidP="00531C9F">
      <w:pPr>
        <w:shd w:val="clear" w:color="auto" w:fill="FFFFFF"/>
        <w:spacing w:after="450" w:line="240" w:lineRule="auto"/>
        <w:textAlignment w:val="baseline"/>
        <w:rPr>
          <w:rFonts w:ascii="Helvetica" w:eastAsia="Times New Roman" w:hAnsi="Helvetica" w:cs="Helvetica"/>
          <w:color w:val="333333"/>
          <w:sz w:val="27"/>
          <w:szCs w:val="27"/>
        </w:rPr>
      </w:pPr>
      <w:r w:rsidRPr="00531C9F">
        <w:rPr>
          <w:rFonts w:ascii="Helvetica" w:eastAsia="Times New Roman" w:hAnsi="Helvetica" w:cs="Helvetica"/>
          <w:color w:val="333333"/>
          <w:sz w:val="27"/>
          <w:szCs w:val="27"/>
        </w:rPr>
        <w:t>1.4. Основ одабира – Смањење</w:t>
      </w:r>
    </w:p>
    <w:tbl>
      <w:tblPr>
        <w:tblW w:w="10083" w:type="dxa"/>
        <w:tblCellSpacing w:w="15" w:type="dxa"/>
        <w:tblBorders>
          <w:top w:val="single" w:sz="6" w:space="0" w:color="DDDDDD"/>
          <w:left w:val="single" w:sz="6" w:space="0" w:color="DDDDDD"/>
          <w:right w:val="single" w:sz="6" w:space="0" w:color="DDDDDD"/>
        </w:tblBorders>
        <w:tblCellMar>
          <w:top w:w="15" w:type="dxa"/>
          <w:left w:w="15" w:type="dxa"/>
          <w:bottom w:w="15" w:type="dxa"/>
          <w:right w:w="15" w:type="dxa"/>
        </w:tblCellMar>
        <w:tblLook w:val="04A0" w:firstRow="1" w:lastRow="0" w:firstColumn="1" w:lastColumn="0" w:noHBand="0" w:noVBand="1"/>
      </w:tblPr>
      <w:tblGrid>
        <w:gridCol w:w="4389"/>
        <w:gridCol w:w="81"/>
        <w:gridCol w:w="2811"/>
        <w:gridCol w:w="74"/>
        <w:gridCol w:w="2728"/>
      </w:tblGrid>
      <w:tr w:rsidR="00531C9F" w:rsidRPr="00531C9F" w:rsidTr="00531C9F">
        <w:trPr>
          <w:tblHeader/>
          <w:tblCellSpacing w:w="15" w:type="dxa"/>
        </w:trPr>
        <w:tc>
          <w:tcPr>
            <w:tcW w:w="3911" w:type="dxa"/>
            <w:tcBorders>
              <w:top w:val="single" w:sz="6" w:space="0" w:color="DDDDDD"/>
              <w:left w:val="nil"/>
              <w:bottom w:val="single" w:sz="6"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24"/>
                <w:szCs w:val="24"/>
              </w:rPr>
            </w:pPr>
          </w:p>
        </w:tc>
        <w:tc>
          <w:tcPr>
            <w:tcW w:w="2962" w:type="dxa"/>
            <w:gridSpan w:val="2"/>
            <w:tcBorders>
              <w:top w:val="single" w:sz="6" w:space="0" w:color="DDDDDD"/>
              <w:left w:val="nil"/>
              <w:bottom w:val="single" w:sz="6"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24"/>
                <w:szCs w:val="24"/>
              </w:rPr>
            </w:pPr>
          </w:p>
        </w:tc>
        <w:tc>
          <w:tcPr>
            <w:tcW w:w="3136" w:type="dxa"/>
            <w:gridSpan w:val="2"/>
            <w:tcBorders>
              <w:top w:val="single" w:sz="6" w:space="0" w:color="DDDDDD"/>
              <w:left w:val="nil"/>
              <w:bottom w:val="single" w:sz="6"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24"/>
                <w:szCs w:val="24"/>
              </w:rPr>
            </w:pPr>
          </w:p>
        </w:tc>
      </w:tr>
      <w:tr w:rsidR="00531C9F" w:rsidRPr="00531C9F" w:rsidTr="00531C9F">
        <w:trPr>
          <w:tblHeader/>
          <w:tblCellSpacing w:w="15" w:type="dxa"/>
        </w:trPr>
        <w:tc>
          <w:tcPr>
            <w:tcW w:w="3911" w:type="dxa"/>
            <w:gridSpan w:val="2"/>
            <w:tcBorders>
              <w:top w:val="single" w:sz="2" w:space="0" w:color="DDDDDD"/>
              <w:left w:val="nil"/>
              <w:bottom w:val="single" w:sz="2"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1"/>
              </w:rPr>
            </w:pPr>
          </w:p>
        </w:tc>
        <w:tc>
          <w:tcPr>
            <w:tcW w:w="2962" w:type="dxa"/>
            <w:gridSpan w:val="2"/>
            <w:tcBorders>
              <w:top w:val="single" w:sz="2" w:space="0" w:color="DDDDDD"/>
              <w:left w:val="nil"/>
              <w:bottom w:val="single" w:sz="2"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1"/>
              </w:rPr>
            </w:pPr>
          </w:p>
        </w:tc>
        <w:tc>
          <w:tcPr>
            <w:tcW w:w="3136" w:type="dxa"/>
            <w:tcBorders>
              <w:top w:val="single" w:sz="2" w:space="0" w:color="DDDDDD"/>
              <w:left w:val="nil"/>
              <w:bottom w:val="single" w:sz="2"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1"/>
              </w:rPr>
            </w:pPr>
          </w:p>
        </w:tc>
      </w:tr>
      <w:tr w:rsidR="00531C9F" w:rsidRPr="00531C9F" w:rsidTr="00531C9F">
        <w:trPr>
          <w:tblCellSpacing w:w="15" w:type="dxa"/>
        </w:trPr>
        <w:tc>
          <w:tcPr>
            <w:tcW w:w="3989" w:type="dxa"/>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Јединствени индентификатор евиденције</w:t>
            </w:r>
          </w:p>
        </w:tc>
        <w:tc>
          <w:tcPr>
            <w:tcW w:w="2942" w:type="dxa"/>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Статус</w:t>
            </w:r>
          </w:p>
        </w:tc>
        <w:tc>
          <w:tcPr>
            <w:tcW w:w="3092" w:type="dxa"/>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Датум евидентирања</w:t>
            </w:r>
          </w:p>
        </w:tc>
      </w:tr>
      <w:tr w:rsidR="00531C9F" w:rsidRPr="00531C9F" w:rsidTr="00531C9F">
        <w:trPr>
          <w:tblCellSpacing w:w="15" w:type="dxa"/>
        </w:trPr>
        <w:tc>
          <w:tcPr>
            <w:tcW w:w="0" w:type="auto"/>
            <w:gridSpan w:val="5"/>
            <w:tcBorders>
              <w:top w:val="nil"/>
              <w:left w:val="nil"/>
              <w:bottom w:val="nil"/>
              <w:right w:val="nil"/>
            </w:tcBorders>
            <w:shd w:val="clear" w:color="auto" w:fill="676767"/>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Број Појединачне евиденције ПДВ</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Промет по стопи од 20% - AE20, осим OBJ</w:t>
            </w: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Промет по стопи од 20% - AE20-OBJ</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Година</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Опис</w:t>
            </w: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Опис</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Порески период</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Основица</w:t>
            </w: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Основица</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Период</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Обрачунати ПДВ</w:t>
            </w: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Обрачунати ПДВ</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Промет - Набавка</w:t>
            </w:r>
          </w:p>
        </w:tc>
        <w:tc>
          <w:tcPr>
            <w:tcW w:w="0" w:type="auto"/>
            <w:gridSpan w:val="3"/>
            <w:tcBorders>
              <w:top w:val="nil"/>
              <w:left w:val="nil"/>
              <w:bottom w:val="nil"/>
              <w:right w:val="nil"/>
            </w:tcBorders>
            <w:shd w:val="clear" w:color="auto" w:fill="676767"/>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 xml:space="preserve">Идентификатор лица којем се врши промет </w:t>
            </w:r>
            <w:r w:rsidRPr="00531C9F">
              <w:rPr>
                <w:rFonts w:ascii="inherit" w:eastAsia="Times New Roman" w:hAnsi="inherit" w:cs="Times New Roman"/>
              </w:rPr>
              <w:lastRenderedPageBreak/>
              <w:t>(Порески број страног лица)</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lastRenderedPageBreak/>
              <w:t xml:space="preserve">Промет по стопи од 10% - </w:t>
            </w:r>
            <w:r w:rsidRPr="00531C9F">
              <w:rPr>
                <w:rFonts w:ascii="inherit" w:eastAsia="Times New Roman" w:hAnsi="inherit" w:cs="Times New Roman"/>
              </w:rPr>
              <w:lastRenderedPageBreak/>
              <w:t>AE10, осим OBJ</w:t>
            </w: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lastRenderedPageBreak/>
              <w:t xml:space="preserve">Промет по стопи од 10% </w:t>
            </w:r>
            <w:r w:rsidRPr="00531C9F">
              <w:rPr>
                <w:rFonts w:ascii="inherit" w:eastAsia="Times New Roman" w:hAnsi="inherit" w:cs="Times New Roman"/>
              </w:rPr>
              <w:lastRenderedPageBreak/>
              <w:t>- AE10-OBJ</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lastRenderedPageBreak/>
              <w:t>Тип документа - Интерни рачун - страно лице</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Опис</w:t>
            </w: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Опис</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Број интерног рачуна</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Основица</w:t>
            </w: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Основица</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Основ одабира документа - Смањење</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Обрачунати ПДВ</w:t>
            </w: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Обрачунати ПДВ</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Повезани интерни рачун</w:t>
            </w:r>
          </w:p>
        </w:tc>
        <w:tc>
          <w:tcPr>
            <w:tcW w:w="0" w:type="auto"/>
            <w:gridSpan w:val="3"/>
            <w:tcBorders>
              <w:top w:val="nil"/>
              <w:left w:val="nil"/>
              <w:bottom w:val="nil"/>
              <w:right w:val="nil"/>
            </w:tcBorders>
            <w:shd w:val="clear" w:color="auto" w:fill="676767"/>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Падајући мени (алтернатива 1): Интерни рачун за промет</w:t>
            </w:r>
          </w:p>
        </w:tc>
        <w:tc>
          <w:tcPr>
            <w:tcW w:w="0" w:type="auto"/>
            <w:gridSpan w:val="3"/>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Укупно обрачунати ПДВ</w:t>
            </w:r>
          </w:p>
        </w:tc>
      </w:tr>
    </w:tbl>
    <w:p w:rsidR="00531C9F" w:rsidRPr="00531C9F" w:rsidRDefault="00531C9F" w:rsidP="00531C9F">
      <w:pPr>
        <w:shd w:val="clear" w:color="auto" w:fill="FFFFFF"/>
        <w:spacing w:after="0" w:line="240" w:lineRule="auto"/>
        <w:textAlignment w:val="baseline"/>
        <w:rPr>
          <w:rFonts w:ascii="Helvetica" w:eastAsia="Times New Roman" w:hAnsi="Helvetica" w:cs="Helvetica"/>
          <w:color w:val="333333"/>
          <w:sz w:val="27"/>
          <w:szCs w:val="27"/>
        </w:rPr>
      </w:pPr>
      <w:r w:rsidRPr="00531C9F">
        <w:rPr>
          <w:rFonts w:ascii="inherit" w:eastAsia="Times New Roman" w:hAnsi="inherit" w:cs="Helvetica"/>
          <w:i/>
          <w:iCs/>
          <w:color w:val="333333"/>
          <w:sz w:val="27"/>
          <w:szCs w:val="27"/>
          <w:bdr w:val="none" w:sz="0" w:space="0" w:color="auto" w:frame="1"/>
        </w:rPr>
        <w:t>1.4.1. Уколико је одабрана алтернатива „Интерни рачун за аванс“:</w:t>
      </w:r>
    </w:p>
    <w:tbl>
      <w:tblPr>
        <w:tblW w:w="10083" w:type="dxa"/>
        <w:tblCellSpacing w:w="15" w:type="dxa"/>
        <w:tblBorders>
          <w:top w:val="single" w:sz="6" w:space="0" w:color="DDDDDD"/>
          <w:left w:val="single" w:sz="6" w:space="0" w:color="DDDDDD"/>
          <w:right w:val="single" w:sz="6" w:space="0" w:color="DDDDDD"/>
        </w:tblBorders>
        <w:tblCellMar>
          <w:top w:w="15" w:type="dxa"/>
          <w:left w:w="15" w:type="dxa"/>
          <w:bottom w:w="15" w:type="dxa"/>
          <w:right w:w="15" w:type="dxa"/>
        </w:tblCellMar>
        <w:tblLook w:val="04A0" w:firstRow="1" w:lastRow="0" w:firstColumn="1" w:lastColumn="0" w:noHBand="0" w:noVBand="1"/>
      </w:tblPr>
      <w:tblGrid>
        <w:gridCol w:w="4039"/>
        <w:gridCol w:w="76"/>
        <w:gridCol w:w="2960"/>
        <w:gridCol w:w="77"/>
        <w:gridCol w:w="2931"/>
      </w:tblGrid>
      <w:tr w:rsidR="00531C9F" w:rsidRPr="00531C9F" w:rsidTr="00531C9F">
        <w:trPr>
          <w:tblHeader/>
          <w:tblCellSpacing w:w="15" w:type="dxa"/>
        </w:trPr>
        <w:tc>
          <w:tcPr>
            <w:tcW w:w="3911" w:type="dxa"/>
            <w:tcBorders>
              <w:top w:val="single" w:sz="6" w:space="0" w:color="DDDDDD"/>
              <w:left w:val="nil"/>
              <w:bottom w:val="single" w:sz="6"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24"/>
                <w:szCs w:val="24"/>
              </w:rPr>
            </w:pPr>
          </w:p>
        </w:tc>
        <w:tc>
          <w:tcPr>
            <w:tcW w:w="2962" w:type="dxa"/>
            <w:gridSpan w:val="2"/>
            <w:tcBorders>
              <w:top w:val="single" w:sz="6" w:space="0" w:color="DDDDDD"/>
              <w:left w:val="nil"/>
              <w:bottom w:val="single" w:sz="6"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24"/>
                <w:szCs w:val="24"/>
              </w:rPr>
            </w:pPr>
          </w:p>
        </w:tc>
        <w:tc>
          <w:tcPr>
            <w:tcW w:w="3136" w:type="dxa"/>
            <w:gridSpan w:val="2"/>
            <w:tcBorders>
              <w:top w:val="single" w:sz="6" w:space="0" w:color="DDDDDD"/>
              <w:left w:val="nil"/>
              <w:bottom w:val="single" w:sz="6"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24"/>
                <w:szCs w:val="24"/>
              </w:rPr>
            </w:pPr>
          </w:p>
        </w:tc>
      </w:tr>
      <w:tr w:rsidR="00531C9F" w:rsidRPr="00531C9F" w:rsidTr="00531C9F">
        <w:trPr>
          <w:tblHeader/>
          <w:tblCellSpacing w:w="15" w:type="dxa"/>
        </w:trPr>
        <w:tc>
          <w:tcPr>
            <w:tcW w:w="3911" w:type="dxa"/>
            <w:gridSpan w:val="2"/>
            <w:tcBorders>
              <w:top w:val="single" w:sz="2" w:space="0" w:color="DDDDDD"/>
              <w:left w:val="nil"/>
              <w:bottom w:val="single" w:sz="2"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1"/>
              </w:rPr>
            </w:pPr>
          </w:p>
        </w:tc>
        <w:tc>
          <w:tcPr>
            <w:tcW w:w="2962" w:type="dxa"/>
            <w:gridSpan w:val="2"/>
            <w:tcBorders>
              <w:top w:val="single" w:sz="2" w:space="0" w:color="DDDDDD"/>
              <w:left w:val="nil"/>
              <w:bottom w:val="single" w:sz="2"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1"/>
              </w:rPr>
            </w:pPr>
          </w:p>
        </w:tc>
        <w:tc>
          <w:tcPr>
            <w:tcW w:w="3136" w:type="dxa"/>
            <w:tcBorders>
              <w:top w:val="single" w:sz="2" w:space="0" w:color="DDDDDD"/>
              <w:left w:val="nil"/>
              <w:bottom w:val="single" w:sz="2"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1"/>
              </w:rPr>
            </w:pPr>
          </w:p>
        </w:tc>
      </w:tr>
      <w:tr w:rsidR="00531C9F" w:rsidRPr="00531C9F" w:rsidTr="00531C9F">
        <w:trPr>
          <w:tblCellSpacing w:w="15" w:type="dxa"/>
        </w:trPr>
        <w:tc>
          <w:tcPr>
            <w:tcW w:w="3989" w:type="dxa"/>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Јединствени индентификатор евиденције</w:t>
            </w:r>
          </w:p>
        </w:tc>
        <w:tc>
          <w:tcPr>
            <w:tcW w:w="2942" w:type="dxa"/>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Статус</w:t>
            </w:r>
          </w:p>
        </w:tc>
        <w:tc>
          <w:tcPr>
            <w:tcW w:w="3092" w:type="dxa"/>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Датум евидентирања</w:t>
            </w:r>
          </w:p>
        </w:tc>
      </w:tr>
      <w:tr w:rsidR="00531C9F" w:rsidRPr="00531C9F" w:rsidTr="00531C9F">
        <w:trPr>
          <w:tblCellSpacing w:w="15" w:type="dxa"/>
        </w:trPr>
        <w:tc>
          <w:tcPr>
            <w:tcW w:w="0" w:type="auto"/>
            <w:gridSpan w:val="5"/>
            <w:tcBorders>
              <w:top w:val="nil"/>
              <w:left w:val="nil"/>
              <w:bottom w:val="nil"/>
              <w:right w:val="nil"/>
            </w:tcBorders>
            <w:shd w:val="clear" w:color="auto" w:fill="676767"/>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Број Појединачне евиденције ПДВ</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Аванс за промет по стопи од 20% - AE20, осим OBJ</w:t>
            </w: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Аванс за промет по стопи од 20% - AE20-OBJ</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Година</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Опис</w:t>
            </w: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Опис</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Порески период</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Основица</w:t>
            </w: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Основица</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Период</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Обрачунати ПДВ</w:t>
            </w: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Обрачунати ПДВ</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Промет - Набавка</w:t>
            </w:r>
          </w:p>
        </w:tc>
        <w:tc>
          <w:tcPr>
            <w:tcW w:w="0" w:type="auto"/>
            <w:gridSpan w:val="3"/>
            <w:tcBorders>
              <w:top w:val="nil"/>
              <w:left w:val="nil"/>
              <w:bottom w:val="nil"/>
              <w:right w:val="nil"/>
            </w:tcBorders>
            <w:shd w:val="clear" w:color="auto" w:fill="676767"/>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Идентификатор лица којем се врши промет (Порески број страног лица)</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Аванс за промет по стопи од 10% - AE10, осим OBJ</w:t>
            </w: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Аванс за промет по стопи од 10% - AE10-OBJ</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Тип документа - Интерни рачун - страно лице</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Опис</w:t>
            </w: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Опис</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Број интерног рачуна</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Основица</w:t>
            </w: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Основица</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Основ одабира документа - Смањење</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Обрачунати ПДВ</w:t>
            </w: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Обрачунати ПДВ</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Повезани интерни рачун</w:t>
            </w:r>
          </w:p>
        </w:tc>
        <w:tc>
          <w:tcPr>
            <w:tcW w:w="0" w:type="auto"/>
            <w:gridSpan w:val="3"/>
            <w:tcBorders>
              <w:top w:val="nil"/>
              <w:left w:val="nil"/>
              <w:bottom w:val="nil"/>
              <w:right w:val="nil"/>
            </w:tcBorders>
            <w:shd w:val="clear" w:color="auto" w:fill="676767"/>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Падајући мени (алтернатива 2): Интерни рачун за аванс</w:t>
            </w:r>
          </w:p>
        </w:tc>
        <w:tc>
          <w:tcPr>
            <w:tcW w:w="0" w:type="auto"/>
            <w:gridSpan w:val="3"/>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Укупно обрачунати ПДВ</w:t>
            </w:r>
          </w:p>
        </w:tc>
      </w:tr>
    </w:tbl>
    <w:p w:rsidR="00531C9F" w:rsidRPr="00531C9F" w:rsidRDefault="00531C9F" w:rsidP="00531C9F">
      <w:pPr>
        <w:shd w:val="clear" w:color="auto" w:fill="FFFFFF"/>
        <w:spacing w:after="0" w:line="240" w:lineRule="auto"/>
        <w:textAlignment w:val="baseline"/>
        <w:rPr>
          <w:rFonts w:ascii="Helvetica" w:eastAsia="Times New Roman" w:hAnsi="Helvetica" w:cs="Helvetica"/>
          <w:color w:val="333333"/>
          <w:sz w:val="27"/>
          <w:szCs w:val="27"/>
        </w:rPr>
      </w:pPr>
      <w:r w:rsidRPr="00531C9F">
        <w:rPr>
          <w:rFonts w:ascii="inherit" w:eastAsia="Times New Roman" w:hAnsi="inherit" w:cs="Helvetica"/>
          <w:b/>
          <w:bCs/>
          <w:color w:val="333333"/>
          <w:sz w:val="27"/>
          <w:szCs w:val="27"/>
          <w:bdr w:val="none" w:sz="0" w:space="0" w:color="auto" w:frame="1"/>
        </w:rPr>
        <w:t>2. Тип документа – Интерни рачун – обвезник ПДВ</w:t>
      </w:r>
    </w:p>
    <w:p w:rsidR="00531C9F" w:rsidRPr="00531C9F" w:rsidRDefault="00531C9F" w:rsidP="00531C9F">
      <w:pPr>
        <w:shd w:val="clear" w:color="auto" w:fill="FFFFFF"/>
        <w:spacing w:after="450" w:line="240" w:lineRule="auto"/>
        <w:textAlignment w:val="baseline"/>
        <w:rPr>
          <w:rFonts w:ascii="Helvetica" w:eastAsia="Times New Roman" w:hAnsi="Helvetica" w:cs="Helvetica"/>
          <w:color w:val="333333"/>
          <w:sz w:val="27"/>
          <w:szCs w:val="27"/>
        </w:rPr>
      </w:pPr>
      <w:r w:rsidRPr="00531C9F">
        <w:rPr>
          <w:rFonts w:ascii="Helvetica" w:eastAsia="Times New Roman" w:hAnsi="Helvetica" w:cs="Helvetica"/>
          <w:color w:val="333333"/>
          <w:sz w:val="27"/>
          <w:szCs w:val="27"/>
        </w:rPr>
        <w:t>2.1. Основ одабира – промет</w:t>
      </w:r>
    </w:p>
    <w:tbl>
      <w:tblPr>
        <w:tblW w:w="10083" w:type="dxa"/>
        <w:tblCellSpacing w:w="15" w:type="dxa"/>
        <w:tblBorders>
          <w:top w:val="single" w:sz="6" w:space="0" w:color="DDDDDD"/>
          <w:left w:val="single" w:sz="6" w:space="0" w:color="DDDDDD"/>
          <w:right w:val="single" w:sz="6" w:space="0" w:color="DDDDDD"/>
        </w:tblBorders>
        <w:tblCellMar>
          <w:top w:w="15" w:type="dxa"/>
          <w:left w:w="15" w:type="dxa"/>
          <w:bottom w:w="15" w:type="dxa"/>
          <w:right w:w="15" w:type="dxa"/>
        </w:tblCellMar>
        <w:tblLook w:val="04A0" w:firstRow="1" w:lastRow="0" w:firstColumn="1" w:lastColumn="0" w:noHBand="0" w:noVBand="1"/>
      </w:tblPr>
      <w:tblGrid>
        <w:gridCol w:w="2507"/>
        <w:gridCol w:w="30"/>
        <w:gridCol w:w="1820"/>
        <w:gridCol w:w="30"/>
        <w:gridCol w:w="1746"/>
        <w:gridCol w:w="30"/>
        <w:gridCol w:w="1975"/>
        <w:gridCol w:w="30"/>
        <w:gridCol w:w="1915"/>
      </w:tblGrid>
      <w:tr w:rsidR="00531C9F" w:rsidRPr="00531C9F" w:rsidTr="00531C9F">
        <w:trPr>
          <w:tblHeader/>
          <w:tblCellSpacing w:w="15" w:type="dxa"/>
        </w:trPr>
        <w:tc>
          <w:tcPr>
            <w:tcW w:w="3423" w:type="dxa"/>
            <w:gridSpan w:val="2"/>
            <w:tcBorders>
              <w:top w:val="single" w:sz="6" w:space="0" w:color="DDDDDD"/>
              <w:left w:val="nil"/>
              <w:bottom w:val="single" w:sz="6"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24"/>
                <w:szCs w:val="24"/>
              </w:rPr>
            </w:pPr>
          </w:p>
        </w:tc>
        <w:tc>
          <w:tcPr>
            <w:tcW w:w="1635" w:type="dxa"/>
            <w:gridSpan w:val="2"/>
            <w:tcBorders>
              <w:top w:val="single" w:sz="6" w:space="0" w:color="DDDDDD"/>
              <w:left w:val="nil"/>
              <w:bottom w:val="single" w:sz="6"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24"/>
                <w:szCs w:val="24"/>
              </w:rPr>
            </w:pPr>
          </w:p>
        </w:tc>
        <w:tc>
          <w:tcPr>
            <w:tcW w:w="1628" w:type="dxa"/>
            <w:gridSpan w:val="2"/>
            <w:tcBorders>
              <w:top w:val="single" w:sz="6" w:space="0" w:color="DDDDDD"/>
              <w:left w:val="nil"/>
              <w:bottom w:val="single" w:sz="6"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24"/>
                <w:szCs w:val="24"/>
              </w:rPr>
            </w:pPr>
          </w:p>
        </w:tc>
        <w:tc>
          <w:tcPr>
            <w:tcW w:w="1650" w:type="dxa"/>
            <w:gridSpan w:val="2"/>
            <w:tcBorders>
              <w:top w:val="single" w:sz="6" w:space="0" w:color="DDDDDD"/>
              <w:left w:val="nil"/>
              <w:bottom w:val="single" w:sz="6"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24"/>
                <w:szCs w:val="24"/>
              </w:rPr>
            </w:pPr>
          </w:p>
        </w:tc>
        <w:tc>
          <w:tcPr>
            <w:tcW w:w="1643" w:type="dxa"/>
            <w:tcBorders>
              <w:top w:val="single" w:sz="6" w:space="0" w:color="DDDDDD"/>
              <w:left w:val="nil"/>
              <w:bottom w:val="single" w:sz="6"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24"/>
                <w:szCs w:val="24"/>
              </w:rPr>
            </w:pPr>
          </w:p>
        </w:tc>
      </w:tr>
      <w:tr w:rsidR="00531C9F" w:rsidRPr="00531C9F" w:rsidTr="00531C9F">
        <w:trPr>
          <w:tblHeader/>
          <w:tblCellSpacing w:w="15" w:type="dxa"/>
        </w:trPr>
        <w:tc>
          <w:tcPr>
            <w:tcW w:w="3423" w:type="dxa"/>
            <w:tcBorders>
              <w:top w:val="single" w:sz="2" w:space="0" w:color="DDDDDD"/>
              <w:left w:val="nil"/>
              <w:bottom w:val="single" w:sz="2"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1"/>
              </w:rPr>
            </w:pPr>
          </w:p>
        </w:tc>
        <w:tc>
          <w:tcPr>
            <w:tcW w:w="1635" w:type="dxa"/>
            <w:gridSpan w:val="2"/>
            <w:tcBorders>
              <w:top w:val="single" w:sz="2" w:space="0" w:color="DDDDDD"/>
              <w:left w:val="nil"/>
              <w:bottom w:val="single" w:sz="2"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1"/>
              </w:rPr>
            </w:pPr>
          </w:p>
        </w:tc>
        <w:tc>
          <w:tcPr>
            <w:tcW w:w="1628" w:type="dxa"/>
            <w:gridSpan w:val="2"/>
            <w:tcBorders>
              <w:top w:val="single" w:sz="2" w:space="0" w:color="DDDDDD"/>
              <w:left w:val="nil"/>
              <w:bottom w:val="single" w:sz="2"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1"/>
              </w:rPr>
            </w:pPr>
          </w:p>
        </w:tc>
        <w:tc>
          <w:tcPr>
            <w:tcW w:w="1650" w:type="dxa"/>
            <w:gridSpan w:val="2"/>
            <w:tcBorders>
              <w:top w:val="single" w:sz="2" w:space="0" w:color="DDDDDD"/>
              <w:left w:val="nil"/>
              <w:bottom w:val="single" w:sz="2"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1"/>
              </w:rPr>
            </w:pPr>
          </w:p>
        </w:tc>
        <w:tc>
          <w:tcPr>
            <w:tcW w:w="1643" w:type="dxa"/>
            <w:gridSpan w:val="2"/>
            <w:tcBorders>
              <w:top w:val="single" w:sz="2" w:space="0" w:color="DDDDDD"/>
              <w:left w:val="nil"/>
              <w:bottom w:val="single" w:sz="2"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1"/>
              </w:rPr>
            </w:pPr>
          </w:p>
        </w:tc>
      </w:tr>
      <w:tr w:rsidR="00531C9F" w:rsidRPr="00531C9F" w:rsidTr="00531C9F">
        <w:trPr>
          <w:tblCellSpacing w:w="15" w:type="dxa"/>
        </w:trPr>
        <w:tc>
          <w:tcPr>
            <w:tcW w:w="3108" w:type="dxa"/>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Јединствени индентификатор евиденције</w:t>
            </w:r>
          </w:p>
        </w:tc>
        <w:tc>
          <w:tcPr>
            <w:tcW w:w="1721" w:type="dxa"/>
            <w:gridSpan w:val="4"/>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Статус</w:t>
            </w:r>
          </w:p>
        </w:tc>
        <w:tc>
          <w:tcPr>
            <w:tcW w:w="1721" w:type="dxa"/>
            <w:gridSpan w:val="4"/>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Датум евидентирања</w:t>
            </w:r>
          </w:p>
        </w:tc>
      </w:tr>
      <w:tr w:rsidR="00531C9F" w:rsidRPr="00531C9F" w:rsidTr="00531C9F">
        <w:trPr>
          <w:tblCellSpacing w:w="15" w:type="dxa"/>
        </w:trPr>
        <w:tc>
          <w:tcPr>
            <w:tcW w:w="0" w:type="auto"/>
            <w:gridSpan w:val="9"/>
            <w:tcBorders>
              <w:top w:val="nil"/>
              <w:left w:val="nil"/>
              <w:bottom w:val="nil"/>
              <w:right w:val="nil"/>
            </w:tcBorders>
            <w:shd w:val="clear" w:color="auto" w:fill="676767"/>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p>
        </w:tc>
      </w:tr>
      <w:tr w:rsidR="00531C9F" w:rsidRPr="00531C9F" w:rsidTr="00531C9F">
        <w:trPr>
          <w:tblCellSpacing w:w="15" w:type="dxa"/>
        </w:trPr>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Број Појединачне евиденције ПДВ</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Промет по стопи од 20% - AE20, осим OBJ</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Промет по стопи од 20% - AE20-OBJ</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Промет без накнаде по стопи од 20% - AE20, осим OBJ</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Промет без накнаде по стопи од 20% - AE20-OBJ</w:t>
            </w:r>
          </w:p>
        </w:tc>
      </w:tr>
      <w:tr w:rsidR="00531C9F" w:rsidRPr="00531C9F" w:rsidTr="00531C9F">
        <w:trPr>
          <w:tblCellSpacing w:w="15" w:type="dxa"/>
        </w:trPr>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Година</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Опис</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Опис</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Опис</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Опис</w:t>
            </w:r>
          </w:p>
        </w:tc>
      </w:tr>
      <w:tr w:rsidR="00531C9F" w:rsidRPr="00531C9F" w:rsidTr="00531C9F">
        <w:trPr>
          <w:tblCellSpacing w:w="15" w:type="dxa"/>
        </w:trPr>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Порески период</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Основица</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Основица</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Основица</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Основица</w:t>
            </w:r>
          </w:p>
        </w:tc>
      </w:tr>
      <w:tr w:rsidR="00531C9F" w:rsidRPr="00531C9F" w:rsidTr="00531C9F">
        <w:trPr>
          <w:tblCellSpacing w:w="15" w:type="dxa"/>
        </w:trPr>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Период</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Обрачунати ПДВ</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Обрачунати ПДВ</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Обрачунати ПДВ</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Обрачунати ПДВ</w:t>
            </w:r>
          </w:p>
        </w:tc>
      </w:tr>
      <w:tr w:rsidR="00531C9F" w:rsidRPr="00531C9F" w:rsidTr="00531C9F">
        <w:trPr>
          <w:tblCellSpacing w:w="15" w:type="dxa"/>
        </w:trPr>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Промет - Набавка</w:t>
            </w:r>
          </w:p>
        </w:tc>
        <w:tc>
          <w:tcPr>
            <w:tcW w:w="0" w:type="auto"/>
            <w:gridSpan w:val="8"/>
            <w:tcBorders>
              <w:top w:val="nil"/>
              <w:left w:val="nil"/>
              <w:bottom w:val="nil"/>
              <w:right w:val="nil"/>
            </w:tcBorders>
            <w:shd w:val="clear" w:color="auto" w:fill="676767"/>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p>
        </w:tc>
      </w:tr>
      <w:tr w:rsidR="00531C9F" w:rsidRPr="00531C9F" w:rsidTr="00531C9F">
        <w:trPr>
          <w:tblCellSpacing w:w="15" w:type="dxa"/>
        </w:trPr>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Идентификатор лица којем се врши промет (ПИБ/ПИБ и ЈБКЈС)</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Промет по стопи од 10% - AE10, осим OBJ</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Промет по стопи од 10% - AE10-OBJ</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Промет без накнаде по стопи од 10% - AE10, осим OBJ</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Промет без накнаде по стопи од 10% - AE10-OBJ</w:t>
            </w:r>
          </w:p>
        </w:tc>
      </w:tr>
      <w:tr w:rsidR="00531C9F" w:rsidRPr="00531C9F" w:rsidTr="00531C9F">
        <w:trPr>
          <w:tblCellSpacing w:w="15" w:type="dxa"/>
        </w:trPr>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Тип документа - Интерни рачун - обвезник ПДВ</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Опис</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Опис</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Опис</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Опис</w:t>
            </w:r>
          </w:p>
        </w:tc>
      </w:tr>
      <w:tr w:rsidR="00531C9F" w:rsidRPr="00531C9F" w:rsidTr="00531C9F">
        <w:trPr>
          <w:tblCellSpacing w:w="15" w:type="dxa"/>
        </w:trPr>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Број интерног рачуна</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Основица</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Основица</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Основица</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Основица</w:t>
            </w:r>
          </w:p>
        </w:tc>
      </w:tr>
      <w:tr w:rsidR="00531C9F" w:rsidRPr="00531C9F" w:rsidTr="00531C9F">
        <w:trPr>
          <w:tblCellSpacing w:w="15" w:type="dxa"/>
        </w:trPr>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Основ одабира документа - Промет</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Обрачунати ПДВ</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Обрачунати ПДВ</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Обрачунати ПДВ</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Обрачунати ПДВ</w:t>
            </w:r>
          </w:p>
        </w:tc>
      </w:tr>
      <w:tr w:rsidR="00531C9F" w:rsidRPr="00531C9F" w:rsidTr="00531C9F">
        <w:trPr>
          <w:tblCellSpacing w:w="15" w:type="dxa"/>
        </w:trPr>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Повезани интерни рачуни за аванс</w:t>
            </w:r>
          </w:p>
        </w:tc>
        <w:tc>
          <w:tcPr>
            <w:tcW w:w="0" w:type="auto"/>
            <w:gridSpan w:val="8"/>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Укупно обрачунати ПДВ</w:t>
            </w:r>
          </w:p>
        </w:tc>
      </w:tr>
    </w:tbl>
    <w:p w:rsidR="00531C9F" w:rsidRPr="00531C9F" w:rsidRDefault="00531C9F" w:rsidP="00531C9F">
      <w:pPr>
        <w:shd w:val="clear" w:color="auto" w:fill="FFFFFF"/>
        <w:spacing w:after="450" w:line="240" w:lineRule="auto"/>
        <w:textAlignment w:val="baseline"/>
        <w:rPr>
          <w:rFonts w:ascii="Helvetica" w:eastAsia="Times New Roman" w:hAnsi="Helvetica" w:cs="Helvetica"/>
          <w:color w:val="333333"/>
          <w:sz w:val="27"/>
          <w:szCs w:val="27"/>
        </w:rPr>
      </w:pPr>
      <w:r w:rsidRPr="00531C9F">
        <w:rPr>
          <w:rFonts w:ascii="Helvetica" w:eastAsia="Times New Roman" w:hAnsi="Helvetica" w:cs="Helvetica"/>
          <w:color w:val="333333"/>
          <w:sz w:val="27"/>
          <w:szCs w:val="27"/>
        </w:rPr>
        <w:t>2.2. Основ одабира – аванс</w:t>
      </w:r>
    </w:p>
    <w:tbl>
      <w:tblPr>
        <w:tblW w:w="10083" w:type="dxa"/>
        <w:tblCellSpacing w:w="15" w:type="dxa"/>
        <w:tblBorders>
          <w:top w:val="single" w:sz="6" w:space="0" w:color="DDDDDD"/>
          <w:left w:val="single" w:sz="6" w:space="0" w:color="DDDDDD"/>
          <w:right w:val="single" w:sz="6" w:space="0" w:color="DDDDDD"/>
        </w:tblBorders>
        <w:tblCellMar>
          <w:top w:w="15" w:type="dxa"/>
          <w:left w:w="15" w:type="dxa"/>
          <w:bottom w:w="15" w:type="dxa"/>
          <w:right w:w="15" w:type="dxa"/>
        </w:tblCellMar>
        <w:tblLook w:val="04A0" w:firstRow="1" w:lastRow="0" w:firstColumn="1" w:lastColumn="0" w:noHBand="0" w:noVBand="1"/>
      </w:tblPr>
      <w:tblGrid>
        <w:gridCol w:w="3871"/>
        <w:gridCol w:w="74"/>
        <w:gridCol w:w="3053"/>
        <w:gridCol w:w="79"/>
        <w:gridCol w:w="3006"/>
      </w:tblGrid>
      <w:tr w:rsidR="00531C9F" w:rsidRPr="00531C9F" w:rsidTr="00531C9F">
        <w:trPr>
          <w:tblHeader/>
          <w:tblCellSpacing w:w="15" w:type="dxa"/>
        </w:trPr>
        <w:tc>
          <w:tcPr>
            <w:tcW w:w="3911" w:type="dxa"/>
            <w:tcBorders>
              <w:top w:val="single" w:sz="6" w:space="0" w:color="DDDDDD"/>
              <w:left w:val="nil"/>
              <w:bottom w:val="single" w:sz="6"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24"/>
                <w:szCs w:val="24"/>
              </w:rPr>
            </w:pPr>
          </w:p>
        </w:tc>
        <w:tc>
          <w:tcPr>
            <w:tcW w:w="2962" w:type="dxa"/>
            <w:gridSpan w:val="2"/>
            <w:tcBorders>
              <w:top w:val="single" w:sz="6" w:space="0" w:color="DDDDDD"/>
              <w:left w:val="nil"/>
              <w:bottom w:val="single" w:sz="6"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24"/>
                <w:szCs w:val="24"/>
              </w:rPr>
            </w:pPr>
          </w:p>
        </w:tc>
        <w:tc>
          <w:tcPr>
            <w:tcW w:w="3136" w:type="dxa"/>
            <w:gridSpan w:val="2"/>
            <w:tcBorders>
              <w:top w:val="single" w:sz="6" w:space="0" w:color="DDDDDD"/>
              <w:left w:val="nil"/>
              <w:bottom w:val="single" w:sz="6"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24"/>
                <w:szCs w:val="24"/>
              </w:rPr>
            </w:pPr>
          </w:p>
        </w:tc>
      </w:tr>
      <w:tr w:rsidR="00531C9F" w:rsidRPr="00531C9F" w:rsidTr="00531C9F">
        <w:trPr>
          <w:tblHeader/>
          <w:tblCellSpacing w:w="15" w:type="dxa"/>
        </w:trPr>
        <w:tc>
          <w:tcPr>
            <w:tcW w:w="3911" w:type="dxa"/>
            <w:gridSpan w:val="2"/>
            <w:tcBorders>
              <w:top w:val="single" w:sz="2" w:space="0" w:color="DDDDDD"/>
              <w:left w:val="nil"/>
              <w:bottom w:val="single" w:sz="2"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1"/>
              </w:rPr>
            </w:pPr>
          </w:p>
        </w:tc>
        <w:tc>
          <w:tcPr>
            <w:tcW w:w="2962" w:type="dxa"/>
            <w:gridSpan w:val="2"/>
            <w:tcBorders>
              <w:top w:val="single" w:sz="2" w:space="0" w:color="DDDDDD"/>
              <w:left w:val="nil"/>
              <w:bottom w:val="single" w:sz="2"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1"/>
              </w:rPr>
            </w:pPr>
          </w:p>
        </w:tc>
        <w:tc>
          <w:tcPr>
            <w:tcW w:w="3136" w:type="dxa"/>
            <w:tcBorders>
              <w:top w:val="single" w:sz="2" w:space="0" w:color="DDDDDD"/>
              <w:left w:val="nil"/>
              <w:bottom w:val="single" w:sz="2"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1"/>
              </w:rPr>
            </w:pPr>
          </w:p>
        </w:tc>
      </w:tr>
      <w:tr w:rsidR="00531C9F" w:rsidRPr="00531C9F" w:rsidTr="00531C9F">
        <w:trPr>
          <w:tblCellSpacing w:w="15" w:type="dxa"/>
        </w:trPr>
        <w:tc>
          <w:tcPr>
            <w:tcW w:w="3989" w:type="dxa"/>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Јединствени индентификатор евиденције</w:t>
            </w:r>
          </w:p>
        </w:tc>
        <w:tc>
          <w:tcPr>
            <w:tcW w:w="2942" w:type="dxa"/>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Статус</w:t>
            </w:r>
          </w:p>
        </w:tc>
        <w:tc>
          <w:tcPr>
            <w:tcW w:w="3092" w:type="dxa"/>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Датум евидентирања</w:t>
            </w:r>
          </w:p>
        </w:tc>
      </w:tr>
      <w:tr w:rsidR="00531C9F" w:rsidRPr="00531C9F" w:rsidTr="00531C9F">
        <w:trPr>
          <w:tblCellSpacing w:w="15" w:type="dxa"/>
        </w:trPr>
        <w:tc>
          <w:tcPr>
            <w:tcW w:w="0" w:type="auto"/>
            <w:gridSpan w:val="5"/>
            <w:tcBorders>
              <w:top w:val="nil"/>
              <w:left w:val="nil"/>
              <w:bottom w:val="nil"/>
              <w:right w:val="nil"/>
            </w:tcBorders>
            <w:shd w:val="clear" w:color="auto" w:fill="676767"/>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Број Појединачне евиденције ПДВ</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Аванс за промет по стопи од 20% - AE20, осим OBJ</w:t>
            </w: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Аванс за промет по стопи од 20% - AE20-OBJ</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Година</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Опис</w:t>
            </w: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Опис</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lastRenderedPageBreak/>
              <w:t>Порески период</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Основица</w:t>
            </w: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Основица</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Период</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Обрачунати ПДВ</w:t>
            </w: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Обрачунати ПДВ</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Промет - Набавка</w:t>
            </w:r>
          </w:p>
        </w:tc>
        <w:tc>
          <w:tcPr>
            <w:tcW w:w="0" w:type="auto"/>
            <w:gridSpan w:val="3"/>
            <w:tcBorders>
              <w:top w:val="nil"/>
              <w:left w:val="nil"/>
              <w:bottom w:val="nil"/>
              <w:right w:val="nil"/>
            </w:tcBorders>
            <w:shd w:val="clear" w:color="auto" w:fill="676767"/>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Идентификатор лица којем се врши промет (ПИБ/ПИБ са ЈБКЈС)</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Аванс за промет по стопи од 10% - AE10, осим OBJ</w:t>
            </w: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Аванс за промет по стопи од 10% - AE10-OBJ</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Тип документа - Интерни рачун - обвезник ПДВ</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Опис</w:t>
            </w: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Опис</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Број интерног рачуна</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Основица</w:t>
            </w: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Основица</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Основ одабира документа - Аванс</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Обрачунати ПДВ</w:t>
            </w: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Обрачунати ПДВ</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Датум аванса</w:t>
            </w:r>
          </w:p>
        </w:tc>
        <w:tc>
          <w:tcPr>
            <w:tcW w:w="0" w:type="auto"/>
            <w:gridSpan w:val="3"/>
            <w:tcBorders>
              <w:top w:val="nil"/>
              <w:left w:val="nil"/>
              <w:bottom w:val="nil"/>
              <w:right w:val="nil"/>
            </w:tcBorders>
            <w:shd w:val="clear" w:color="auto" w:fill="676767"/>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Основ за авансно плаћање</w:t>
            </w:r>
          </w:p>
        </w:tc>
        <w:tc>
          <w:tcPr>
            <w:tcW w:w="0" w:type="auto"/>
            <w:gridSpan w:val="3"/>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Укупно обрачунати ПДВ</w:t>
            </w:r>
          </w:p>
        </w:tc>
      </w:tr>
    </w:tbl>
    <w:p w:rsidR="00531C9F" w:rsidRPr="00531C9F" w:rsidRDefault="00531C9F" w:rsidP="00531C9F">
      <w:pPr>
        <w:shd w:val="clear" w:color="auto" w:fill="FFFFFF"/>
        <w:spacing w:after="450" w:line="240" w:lineRule="auto"/>
        <w:textAlignment w:val="baseline"/>
        <w:rPr>
          <w:rFonts w:ascii="Helvetica" w:eastAsia="Times New Roman" w:hAnsi="Helvetica" w:cs="Helvetica"/>
          <w:color w:val="333333"/>
          <w:sz w:val="27"/>
          <w:szCs w:val="27"/>
        </w:rPr>
      </w:pPr>
      <w:r w:rsidRPr="00531C9F">
        <w:rPr>
          <w:rFonts w:ascii="Helvetica" w:eastAsia="Times New Roman" w:hAnsi="Helvetica" w:cs="Helvetica"/>
          <w:color w:val="333333"/>
          <w:sz w:val="27"/>
          <w:szCs w:val="27"/>
        </w:rPr>
        <w:t>2.3. Основ одабира – повећање</w:t>
      </w:r>
    </w:p>
    <w:tbl>
      <w:tblPr>
        <w:tblW w:w="10083" w:type="dxa"/>
        <w:tblCellSpacing w:w="15" w:type="dxa"/>
        <w:tblBorders>
          <w:top w:val="single" w:sz="6" w:space="0" w:color="DDDDDD"/>
          <w:left w:val="single" w:sz="6" w:space="0" w:color="DDDDDD"/>
          <w:right w:val="single" w:sz="6" w:space="0" w:color="DDDDDD"/>
        </w:tblBorders>
        <w:tblCellMar>
          <w:top w:w="15" w:type="dxa"/>
          <w:left w:w="15" w:type="dxa"/>
          <w:bottom w:w="15" w:type="dxa"/>
          <w:right w:w="15" w:type="dxa"/>
        </w:tblCellMar>
        <w:tblLook w:val="04A0" w:firstRow="1" w:lastRow="0" w:firstColumn="1" w:lastColumn="0" w:noHBand="0" w:noVBand="1"/>
      </w:tblPr>
      <w:tblGrid>
        <w:gridCol w:w="4218"/>
        <w:gridCol w:w="79"/>
        <w:gridCol w:w="2908"/>
        <w:gridCol w:w="76"/>
        <w:gridCol w:w="2802"/>
      </w:tblGrid>
      <w:tr w:rsidR="00531C9F" w:rsidRPr="00531C9F" w:rsidTr="00531C9F">
        <w:trPr>
          <w:tblHeader/>
          <w:tblCellSpacing w:w="15" w:type="dxa"/>
        </w:trPr>
        <w:tc>
          <w:tcPr>
            <w:tcW w:w="3911" w:type="dxa"/>
            <w:tcBorders>
              <w:top w:val="single" w:sz="6" w:space="0" w:color="DDDDDD"/>
              <w:left w:val="nil"/>
              <w:bottom w:val="single" w:sz="6"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24"/>
                <w:szCs w:val="24"/>
              </w:rPr>
            </w:pPr>
          </w:p>
        </w:tc>
        <w:tc>
          <w:tcPr>
            <w:tcW w:w="2962" w:type="dxa"/>
            <w:gridSpan w:val="2"/>
            <w:tcBorders>
              <w:top w:val="single" w:sz="6" w:space="0" w:color="DDDDDD"/>
              <w:left w:val="nil"/>
              <w:bottom w:val="single" w:sz="6"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24"/>
                <w:szCs w:val="24"/>
              </w:rPr>
            </w:pPr>
          </w:p>
        </w:tc>
        <w:tc>
          <w:tcPr>
            <w:tcW w:w="3136" w:type="dxa"/>
            <w:gridSpan w:val="2"/>
            <w:tcBorders>
              <w:top w:val="single" w:sz="6" w:space="0" w:color="DDDDDD"/>
              <w:left w:val="nil"/>
              <w:bottom w:val="single" w:sz="6"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24"/>
                <w:szCs w:val="24"/>
              </w:rPr>
            </w:pPr>
          </w:p>
        </w:tc>
      </w:tr>
      <w:tr w:rsidR="00531C9F" w:rsidRPr="00531C9F" w:rsidTr="00531C9F">
        <w:trPr>
          <w:tblHeader/>
          <w:tblCellSpacing w:w="15" w:type="dxa"/>
        </w:trPr>
        <w:tc>
          <w:tcPr>
            <w:tcW w:w="3911" w:type="dxa"/>
            <w:gridSpan w:val="2"/>
            <w:tcBorders>
              <w:top w:val="single" w:sz="2" w:space="0" w:color="DDDDDD"/>
              <w:left w:val="nil"/>
              <w:bottom w:val="single" w:sz="2"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1"/>
              </w:rPr>
            </w:pPr>
          </w:p>
        </w:tc>
        <w:tc>
          <w:tcPr>
            <w:tcW w:w="2962" w:type="dxa"/>
            <w:gridSpan w:val="2"/>
            <w:tcBorders>
              <w:top w:val="single" w:sz="2" w:space="0" w:color="DDDDDD"/>
              <w:left w:val="nil"/>
              <w:bottom w:val="single" w:sz="2"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1"/>
              </w:rPr>
            </w:pPr>
          </w:p>
        </w:tc>
        <w:tc>
          <w:tcPr>
            <w:tcW w:w="3136" w:type="dxa"/>
            <w:tcBorders>
              <w:top w:val="single" w:sz="2" w:space="0" w:color="DDDDDD"/>
              <w:left w:val="nil"/>
              <w:bottom w:val="single" w:sz="2"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1"/>
              </w:rPr>
            </w:pPr>
          </w:p>
        </w:tc>
      </w:tr>
      <w:tr w:rsidR="00531C9F" w:rsidRPr="00531C9F" w:rsidTr="00531C9F">
        <w:trPr>
          <w:tblCellSpacing w:w="15" w:type="dxa"/>
        </w:trPr>
        <w:tc>
          <w:tcPr>
            <w:tcW w:w="3989" w:type="dxa"/>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Јединствени индентификатор евиденције</w:t>
            </w:r>
          </w:p>
        </w:tc>
        <w:tc>
          <w:tcPr>
            <w:tcW w:w="2942" w:type="dxa"/>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Статус</w:t>
            </w:r>
          </w:p>
        </w:tc>
        <w:tc>
          <w:tcPr>
            <w:tcW w:w="3092" w:type="dxa"/>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Датум евидентирања</w:t>
            </w:r>
          </w:p>
        </w:tc>
      </w:tr>
      <w:tr w:rsidR="00531C9F" w:rsidRPr="00531C9F" w:rsidTr="00531C9F">
        <w:trPr>
          <w:tblCellSpacing w:w="15" w:type="dxa"/>
        </w:trPr>
        <w:tc>
          <w:tcPr>
            <w:tcW w:w="0" w:type="auto"/>
            <w:gridSpan w:val="5"/>
            <w:tcBorders>
              <w:top w:val="nil"/>
              <w:left w:val="nil"/>
              <w:bottom w:val="nil"/>
              <w:right w:val="nil"/>
            </w:tcBorders>
            <w:shd w:val="clear" w:color="auto" w:fill="676767"/>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Број Појединачне евиденције ПДВ</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Промет по стопи од 20% - AE20, осим OBJ</w:t>
            </w: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Промет по стопи од 20% - AE20-OBJ</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Година</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Опис</w:t>
            </w: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Опис</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Порески период</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Основица</w:t>
            </w: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Основица</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Период</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Обрачунати ПДВ</w:t>
            </w: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Обрачунати ПДВ</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Промет - Набавка</w:t>
            </w:r>
          </w:p>
        </w:tc>
        <w:tc>
          <w:tcPr>
            <w:tcW w:w="0" w:type="auto"/>
            <w:gridSpan w:val="3"/>
            <w:tcBorders>
              <w:top w:val="nil"/>
              <w:left w:val="nil"/>
              <w:bottom w:val="nil"/>
              <w:right w:val="nil"/>
            </w:tcBorders>
            <w:shd w:val="clear" w:color="auto" w:fill="676767"/>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Идентификатор лица којем се врши промет (ПИБ/ПИБ са ЈБКЈС)</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Промет по стопи од 10% - AE10, осим OBJ</w:t>
            </w: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Промет по стопи од 10% - AE10-OBJ</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Тип документа - Интерни рачун - обвезник ПДВ</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Опис</w:t>
            </w: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Опис</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Број интерног рачуна</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Основица</w:t>
            </w: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Основица</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Основ одабира документа - Повећање</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Обрачунати ПДВ</w:t>
            </w: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Обрачунати ПДВ</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lastRenderedPageBreak/>
              <w:t>Повезани интерни рачун за промет</w:t>
            </w:r>
          </w:p>
        </w:tc>
        <w:tc>
          <w:tcPr>
            <w:tcW w:w="0" w:type="auto"/>
            <w:gridSpan w:val="3"/>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Укупно обрачунати ПДВ</w:t>
            </w:r>
          </w:p>
        </w:tc>
      </w:tr>
    </w:tbl>
    <w:p w:rsidR="00531C9F" w:rsidRPr="00531C9F" w:rsidRDefault="00531C9F" w:rsidP="00531C9F">
      <w:pPr>
        <w:shd w:val="clear" w:color="auto" w:fill="FFFFFF"/>
        <w:spacing w:after="450" w:line="240" w:lineRule="auto"/>
        <w:textAlignment w:val="baseline"/>
        <w:rPr>
          <w:rFonts w:ascii="Helvetica" w:eastAsia="Times New Roman" w:hAnsi="Helvetica" w:cs="Helvetica"/>
          <w:color w:val="333333"/>
          <w:sz w:val="27"/>
          <w:szCs w:val="27"/>
        </w:rPr>
      </w:pPr>
      <w:r w:rsidRPr="00531C9F">
        <w:rPr>
          <w:rFonts w:ascii="Helvetica" w:eastAsia="Times New Roman" w:hAnsi="Helvetica" w:cs="Helvetica"/>
          <w:color w:val="333333"/>
          <w:sz w:val="27"/>
          <w:szCs w:val="27"/>
        </w:rPr>
        <w:t>2.4. Основ одабира – смањење</w:t>
      </w:r>
    </w:p>
    <w:tbl>
      <w:tblPr>
        <w:tblW w:w="10083" w:type="dxa"/>
        <w:tblCellSpacing w:w="15" w:type="dxa"/>
        <w:tblBorders>
          <w:top w:val="single" w:sz="6" w:space="0" w:color="DDDDDD"/>
          <w:left w:val="single" w:sz="6" w:space="0" w:color="DDDDDD"/>
          <w:right w:val="single" w:sz="6" w:space="0" w:color="DDDDDD"/>
        </w:tblBorders>
        <w:tblCellMar>
          <w:top w:w="15" w:type="dxa"/>
          <w:left w:w="15" w:type="dxa"/>
          <w:bottom w:w="15" w:type="dxa"/>
          <w:right w:w="15" w:type="dxa"/>
        </w:tblCellMar>
        <w:tblLook w:val="04A0" w:firstRow="1" w:lastRow="0" w:firstColumn="1" w:lastColumn="0" w:noHBand="0" w:noVBand="1"/>
      </w:tblPr>
      <w:tblGrid>
        <w:gridCol w:w="4218"/>
        <w:gridCol w:w="79"/>
        <w:gridCol w:w="2908"/>
        <w:gridCol w:w="76"/>
        <w:gridCol w:w="2802"/>
      </w:tblGrid>
      <w:tr w:rsidR="00531C9F" w:rsidRPr="00531C9F" w:rsidTr="00531C9F">
        <w:trPr>
          <w:tblHeader/>
          <w:tblCellSpacing w:w="15" w:type="dxa"/>
        </w:trPr>
        <w:tc>
          <w:tcPr>
            <w:tcW w:w="3911" w:type="dxa"/>
            <w:tcBorders>
              <w:top w:val="single" w:sz="6" w:space="0" w:color="DDDDDD"/>
              <w:left w:val="nil"/>
              <w:bottom w:val="single" w:sz="6"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24"/>
                <w:szCs w:val="24"/>
              </w:rPr>
            </w:pPr>
          </w:p>
        </w:tc>
        <w:tc>
          <w:tcPr>
            <w:tcW w:w="2962" w:type="dxa"/>
            <w:gridSpan w:val="2"/>
            <w:tcBorders>
              <w:top w:val="single" w:sz="6" w:space="0" w:color="DDDDDD"/>
              <w:left w:val="nil"/>
              <w:bottom w:val="single" w:sz="6"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24"/>
                <w:szCs w:val="24"/>
              </w:rPr>
            </w:pPr>
          </w:p>
        </w:tc>
        <w:tc>
          <w:tcPr>
            <w:tcW w:w="3136" w:type="dxa"/>
            <w:gridSpan w:val="2"/>
            <w:tcBorders>
              <w:top w:val="single" w:sz="6" w:space="0" w:color="DDDDDD"/>
              <w:left w:val="nil"/>
              <w:bottom w:val="single" w:sz="6"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24"/>
                <w:szCs w:val="24"/>
              </w:rPr>
            </w:pPr>
          </w:p>
        </w:tc>
      </w:tr>
      <w:tr w:rsidR="00531C9F" w:rsidRPr="00531C9F" w:rsidTr="00531C9F">
        <w:trPr>
          <w:tblHeader/>
          <w:tblCellSpacing w:w="15" w:type="dxa"/>
        </w:trPr>
        <w:tc>
          <w:tcPr>
            <w:tcW w:w="3911" w:type="dxa"/>
            <w:gridSpan w:val="2"/>
            <w:tcBorders>
              <w:top w:val="single" w:sz="2" w:space="0" w:color="DDDDDD"/>
              <w:left w:val="nil"/>
              <w:bottom w:val="single" w:sz="2"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1"/>
              </w:rPr>
            </w:pPr>
          </w:p>
        </w:tc>
        <w:tc>
          <w:tcPr>
            <w:tcW w:w="2962" w:type="dxa"/>
            <w:gridSpan w:val="2"/>
            <w:tcBorders>
              <w:top w:val="single" w:sz="2" w:space="0" w:color="DDDDDD"/>
              <w:left w:val="nil"/>
              <w:bottom w:val="single" w:sz="2"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1"/>
              </w:rPr>
            </w:pPr>
          </w:p>
        </w:tc>
        <w:tc>
          <w:tcPr>
            <w:tcW w:w="3136" w:type="dxa"/>
            <w:tcBorders>
              <w:top w:val="single" w:sz="2" w:space="0" w:color="DDDDDD"/>
              <w:left w:val="nil"/>
              <w:bottom w:val="single" w:sz="2"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1"/>
              </w:rPr>
            </w:pPr>
          </w:p>
        </w:tc>
      </w:tr>
      <w:tr w:rsidR="00531C9F" w:rsidRPr="00531C9F" w:rsidTr="00531C9F">
        <w:trPr>
          <w:tblCellSpacing w:w="15" w:type="dxa"/>
        </w:trPr>
        <w:tc>
          <w:tcPr>
            <w:tcW w:w="3989" w:type="dxa"/>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Јединствени индентификатор евиденције</w:t>
            </w:r>
          </w:p>
        </w:tc>
        <w:tc>
          <w:tcPr>
            <w:tcW w:w="2942" w:type="dxa"/>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Статус</w:t>
            </w:r>
          </w:p>
        </w:tc>
        <w:tc>
          <w:tcPr>
            <w:tcW w:w="3092" w:type="dxa"/>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Датум евидентирања</w:t>
            </w:r>
          </w:p>
        </w:tc>
      </w:tr>
      <w:tr w:rsidR="00531C9F" w:rsidRPr="00531C9F" w:rsidTr="00531C9F">
        <w:trPr>
          <w:tblCellSpacing w:w="15" w:type="dxa"/>
        </w:trPr>
        <w:tc>
          <w:tcPr>
            <w:tcW w:w="0" w:type="auto"/>
            <w:gridSpan w:val="5"/>
            <w:tcBorders>
              <w:top w:val="nil"/>
              <w:left w:val="nil"/>
              <w:bottom w:val="nil"/>
              <w:right w:val="nil"/>
            </w:tcBorders>
            <w:shd w:val="clear" w:color="auto" w:fill="676767"/>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Број Појединачне евиденције ПДВ</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Промет по стопи од 20% - AE20, осим OBJ</w:t>
            </w: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Промет по стопи од 20% - AE20-OBJ</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Година</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Опис</w:t>
            </w: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Опис</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Порески период</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Основица</w:t>
            </w: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Основица</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Период</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Обрачунати ПДВ</w:t>
            </w: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Обрачунати ПДВ</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Промет - Набавка</w:t>
            </w:r>
          </w:p>
        </w:tc>
        <w:tc>
          <w:tcPr>
            <w:tcW w:w="0" w:type="auto"/>
            <w:gridSpan w:val="3"/>
            <w:tcBorders>
              <w:top w:val="nil"/>
              <w:left w:val="nil"/>
              <w:bottom w:val="nil"/>
              <w:right w:val="nil"/>
            </w:tcBorders>
            <w:shd w:val="clear" w:color="auto" w:fill="676767"/>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Идентификатор лица којем се врши промет (ПИБ/ПИБ са ЈБКЈС)</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Промет по стопи од 10% - AE10, осим OBJ</w:t>
            </w: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Промет по стопи од 10% - AE10-OBJ</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Тип документа - Интерни рачун - обвезник ПДВ</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Опис</w:t>
            </w: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Опис</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Број интерног рачуна</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Основица</w:t>
            </w: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Основица</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Основ одабира документа - Смањење</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Обрачунати ПДВ</w:t>
            </w: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Обрачунати ПДВ</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Повезани интерни рачун</w:t>
            </w:r>
          </w:p>
        </w:tc>
        <w:tc>
          <w:tcPr>
            <w:tcW w:w="0" w:type="auto"/>
            <w:gridSpan w:val="3"/>
            <w:tcBorders>
              <w:top w:val="nil"/>
              <w:left w:val="nil"/>
              <w:bottom w:val="nil"/>
              <w:right w:val="nil"/>
            </w:tcBorders>
            <w:shd w:val="clear" w:color="auto" w:fill="676767"/>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Падајући мени (алтернатива 1): Интерни рачун за промет</w:t>
            </w:r>
          </w:p>
        </w:tc>
        <w:tc>
          <w:tcPr>
            <w:tcW w:w="0" w:type="auto"/>
            <w:gridSpan w:val="3"/>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Укупно обрачунати ПДВ</w:t>
            </w:r>
          </w:p>
        </w:tc>
      </w:tr>
    </w:tbl>
    <w:p w:rsidR="00531C9F" w:rsidRPr="00531C9F" w:rsidRDefault="00531C9F" w:rsidP="00531C9F">
      <w:pPr>
        <w:shd w:val="clear" w:color="auto" w:fill="FFFFFF"/>
        <w:spacing w:after="0" w:line="240" w:lineRule="auto"/>
        <w:textAlignment w:val="baseline"/>
        <w:rPr>
          <w:rFonts w:ascii="Helvetica" w:eastAsia="Times New Roman" w:hAnsi="Helvetica" w:cs="Helvetica"/>
          <w:color w:val="333333"/>
          <w:sz w:val="27"/>
          <w:szCs w:val="27"/>
        </w:rPr>
      </w:pPr>
      <w:r w:rsidRPr="00531C9F">
        <w:rPr>
          <w:rFonts w:ascii="inherit" w:eastAsia="Times New Roman" w:hAnsi="inherit" w:cs="Helvetica"/>
          <w:i/>
          <w:iCs/>
          <w:color w:val="333333"/>
          <w:sz w:val="27"/>
          <w:szCs w:val="27"/>
          <w:bdr w:val="none" w:sz="0" w:space="0" w:color="auto" w:frame="1"/>
        </w:rPr>
        <w:t>2.4.1. Уколико је одабрана алтернатива „Интерни рачун за аванс“</w:t>
      </w:r>
    </w:p>
    <w:tbl>
      <w:tblPr>
        <w:tblW w:w="10083" w:type="dxa"/>
        <w:tblCellSpacing w:w="15" w:type="dxa"/>
        <w:tblBorders>
          <w:top w:val="single" w:sz="6" w:space="0" w:color="DDDDDD"/>
          <w:left w:val="single" w:sz="6" w:space="0" w:color="DDDDDD"/>
          <w:right w:val="single" w:sz="6" w:space="0" w:color="DDDDDD"/>
        </w:tblBorders>
        <w:tblCellMar>
          <w:top w:w="15" w:type="dxa"/>
          <w:left w:w="15" w:type="dxa"/>
          <w:bottom w:w="15" w:type="dxa"/>
          <w:right w:w="15" w:type="dxa"/>
        </w:tblCellMar>
        <w:tblLook w:val="04A0" w:firstRow="1" w:lastRow="0" w:firstColumn="1" w:lastColumn="0" w:noHBand="0" w:noVBand="1"/>
      </w:tblPr>
      <w:tblGrid>
        <w:gridCol w:w="3871"/>
        <w:gridCol w:w="74"/>
        <w:gridCol w:w="3053"/>
        <w:gridCol w:w="79"/>
        <w:gridCol w:w="3006"/>
      </w:tblGrid>
      <w:tr w:rsidR="00531C9F" w:rsidRPr="00531C9F" w:rsidTr="00531C9F">
        <w:trPr>
          <w:tblHeader/>
          <w:tblCellSpacing w:w="15" w:type="dxa"/>
        </w:trPr>
        <w:tc>
          <w:tcPr>
            <w:tcW w:w="3911" w:type="dxa"/>
            <w:tcBorders>
              <w:top w:val="single" w:sz="6" w:space="0" w:color="DDDDDD"/>
              <w:left w:val="nil"/>
              <w:bottom w:val="single" w:sz="6"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24"/>
                <w:szCs w:val="24"/>
              </w:rPr>
            </w:pPr>
          </w:p>
        </w:tc>
        <w:tc>
          <w:tcPr>
            <w:tcW w:w="2962" w:type="dxa"/>
            <w:gridSpan w:val="2"/>
            <w:tcBorders>
              <w:top w:val="single" w:sz="6" w:space="0" w:color="DDDDDD"/>
              <w:left w:val="nil"/>
              <w:bottom w:val="single" w:sz="6"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24"/>
                <w:szCs w:val="24"/>
              </w:rPr>
            </w:pPr>
          </w:p>
        </w:tc>
        <w:tc>
          <w:tcPr>
            <w:tcW w:w="3136" w:type="dxa"/>
            <w:gridSpan w:val="2"/>
            <w:tcBorders>
              <w:top w:val="single" w:sz="6" w:space="0" w:color="DDDDDD"/>
              <w:left w:val="nil"/>
              <w:bottom w:val="single" w:sz="6"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24"/>
                <w:szCs w:val="24"/>
              </w:rPr>
            </w:pPr>
          </w:p>
        </w:tc>
      </w:tr>
      <w:tr w:rsidR="00531C9F" w:rsidRPr="00531C9F" w:rsidTr="00531C9F">
        <w:trPr>
          <w:tblHeader/>
          <w:tblCellSpacing w:w="15" w:type="dxa"/>
        </w:trPr>
        <w:tc>
          <w:tcPr>
            <w:tcW w:w="3911" w:type="dxa"/>
            <w:gridSpan w:val="2"/>
            <w:tcBorders>
              <w:top w:val="single" w:sz="2" w:space="0" w:color="DDDDDD"/>
              <w:left w:val="nil"/>
              <w:bottom w:val="single" w:sz="2"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1"/>
              </w:rPr>
            </w:pPr>
          </w:p>
        </w:tc>
        <w:tc>
          <w:tcPr>
            <w:tcW w:w="2962" w:type="dxa"/>
            <w:gridSpan w:val="2"/>
            <w:tcBorders>
              <w:top w:val="single" w:sz="2" w:space="0" w:color="DDDDDD"/>
              <w:left w:val="nil"/>
              <w:bottom w:val="single" w:sz="2"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1"/>
              </w:rPr>
            </w:pPr>
          </w:p>
        </w:tc>
        <w:tc>
          <w:tcPr>
            <w:tcW w:w="3136" w:type="dxa"/>
            <w:tcBorders>
              <w:top w:val="single" w:sz="2" w:space="0" w:color="DDDDDD"/>
              <w:left w:val="nil"/>
              <w:bottom w:val="single" w:sz="2"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1"/>
              </w:rPr>
            </w:pPr>
          </w:p>
        </w:tc>
      </w:tr>
      <w:tr w:rsidR="00531C9F" w:rsidRPr="00531C9F" w:rsidTr="00531C9F">
        <w:trPr>
          <w:tblCellSpacing w:w="15" w:type="dxa"/>
        </w:trPr>
        <w:tc>
          <w:tcPr>
            <w:tcW w:w="3989" w:type="dxa"/>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Јединствени индентификатор евиденције</w:t>
            </w:r>
          </w:p>
        </w:tc>
        <w:tc>
          <w:tcPr>
            <w:tcW w:w="2942" w:type="dxa"/>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Статус</w:t>
            </w:r>
          </w:p>
        </w:tc>
        <w:tc>
          <w:tcPr>
            <w:tcW w:w="3092" w:type="dxa"/>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Датум евидентирања</w:t>
            </w:r>
          </w:p>
        </w:tc>
      </w:tr>
      <w:tr w:rsidR="00531C9F" w:rsidRPr="00531C9F" w:rsidTr="00531C9F">
        <w:trPr>
          <w:tblCellSpacing w:w="15" w:type="dxa"/>
        </w:trPr>
        <w:tc>
          <w:tcPr>
            <w:tcW w:w="0" w:type="auto"/>
            <w:gridSpan w:val="5"/>
            <w:tcBorders>
              <w:top w:val="nil"/>
              <w:left w:val="nil"/>
              <w:bottom w:val="nil"/>
              <w:right w:val="nil"/>
            </w:tcBorders>
            <w:shd w:val="clear" w:color="auto" w:fill="676767"/>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Број Појединачне евиденције ПДВ</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Аванс за промет по стопи од 20% - AE20, осим OBJ</w:t>
            </w: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Аванс за промет по стопи од 20% - AE20-OBJ</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Година</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Опис</w:t>
            </w: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Опис</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Порески период</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Основица</w:t>
            </w: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Основица</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lastRenderedPageBreak/>
              <w:t>Период</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Обрачунати ПДВ</w:t>
            </w: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Обрачунати ПДВ</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Промет - Набавка</w:t>
            </w:r>
          </w:p>
        </w:tc>
        <w:tc>
          <w:tcPr>
            <w:tcW w:w="0" w:type="auto"/>
            <w:gridSpan w:val="3"/>
            <w:tcBorders>
              <w:top w:val="nil"/>
              <w:left w:val="nil"/>
              <w:bottom w:val="nil"/>
              <w:right w:val="nil"/>
            </w:tcBorders>
            <w:shd w:val="clear" w:color="auto" w:fill="676767"/>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Идентификатор лица којем се врши промет (ПИБ/ПИБ са ЈБКЈС)</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Аванс за промет по стопи од 10% - AE10, осим OBJ</w:t>
            </w: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Аванс за промет по стопи од 10% - AE10-OBJ</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Тип документа - Интерни рачун - обвезник ПДВ</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Опис</w:t>
            </w: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Опис</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Број интерног рачуна</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Основица</w:t>
            </w: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Основица</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Основ одабира документа - Смањење</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Обрачунати ПДВ</w:t>
            </w: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Обрачунати ПДВ</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Повезани интерни рачун</w:t>
            </w:r>
          </w:p>
        </w:tc>
        <w:tc>
          <w:tcPr>
            <w:tcW w:w="0" w:type="auto"/>
            <w:gridSpan w:val="3"/>
            <w:tcBorders>
              <w:top w:val="nil"/>
              <w:left w:val="nil"/>
              <w:bottom w:val="nil"/>
              <w:right w:val="nil"/>
            </w:tcBorders>
            <w:shd w:val="clear" w:color="auto" w:fill="676767"/>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Падајући мени (алтернатива 2): Интерни рачун за аванс</w:t>
            </w:r>
          </w:p>
        </w:tc>
        <w:tc>
          <w:tcPr>
            <w:tcW w:w="0" w:type="auto"/>
            <w:gridSpan w:val="3"/>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rPr>
            </w:pPr>
            <w:r w:rsidRPr="00531C9F">
              <w:rPr>
                <w:rFonts w:ascii="inherit" w:eastAsia="Times New Roman" w:hAnsi="inherit" w:cs="Times New Roman"/>
              </w:rPr>
              <w:t>Укупно обрачунати ПДВ</w:t>
            </w:r>
          </w:p>
        </w:tc>
      </w:tr>
    </w:tbl>
    <w:p w:rsidR="00531C9F" w:rsidRPr="00531C9F" w:rsidRDefault="00531C9F" w:rsidP="00531C9F">
      <w:pPr>
        <w:shd w:val="clear" w:color="auto" w:fill="FFFFFF"/>
        <w:spacing w:after="0" w:line="240" w:lineRule="auto"/>
        <w:textAlignment w:val="baseline"/>
        <w:outlineLvl w:val="3"/>
        <w:rPr>
          <w:rFonts w:ascii="Helvetica" w:eastAsia="Times New Roman" w:hAnsi="Helvetica" w:cs="Helvetica"/>
          <w:b/>
          <w:bCs/>
          <w:color w:val="D23232"/>
          <w:sz w:val="33"/>
          <w:szCs w:val="33"/>
        </w:rPr>
      </w:pPr>
      <w:r w:rsidRPr="00531C9F">
        <w:rPr>
          <w:rFonts w:ascii="inherit" w:eastAsia="Times New Roman" w:hAnsi="inherit" w:cs="Helvetica"/>
          <w:b/>
          <w:bCs/>
          <w:color w:val="D23232"/>
          <w:sz w:val="33"/>
          <w:szCs w:val="33"/>
          <w:bdr w:val="none" w:sz="0" w:space="0" w:color="auto" w:frame="1"/>
        </w:rPr>
        <w:t>6. ЗБИРНА ЕВИДЕНЦИЈА ПДВ</w:t>
      </w:r>
    </w:p>
    <w:p w:rsidR="00531C9F" w:rsidRPr="00531C9F" w:rsidRDefault="00531C9F" w:rsidP="00531C9F">
      <w:pPr>
        <w:shd w:val="clear" w:color="auto" w:fill="FFFFFF"/>
        <w:spacing w:after="0" w:line="240" w:lineRule="auto"/>
        <w:textAlignment w:val="baseline"/>
        <w:outlineLvl w:val="4"/>
        <w:rPr>
          <w:rFonts w:ascii="Helvetica" w:eastAsia="Times New Roman" w:hAnsi="Helvetica" w:cs="Helvetica"/>
          <w:b/>
          <w:bCs/>
          <w:color w:val="D23232"/>
          <w:sz w:val="30"/>
          <w:szCs w:val="30"/>
        </w:rPr>
      </w:pPr>
      <w:r w:rsidRPr="00531C9F">
        <w:rPr>
          <w:rFonts w:ascii="inherit" w:eastAsia="Times New Roman" w:hAnsi="inherit" w:cs="Helvetica"/>
          <w:b/>
          <w:bCs/>
          <w:color w:val="D23232"/>
          <w:sz w:val="30"/>
          <w:szCs w:val="30"/>
          <w:bdr w:val="none" w:sz="0" w:space="0" w:color="auto" w:frame="1"/>
        </w:rPr>
        <w:t>6.1. Измене Збирне евиденције ПДВ на корисничком интерфејсу</w:t>
      </w:r>
    </w:p>
    <w:p w:rsidR="00531C9F" w:rsidRPr="00531C9F" w:rsidRDefault="00531C9F" w:rsidP="00531C9F">
      <w:pPr>
        <w:shd w:val="clear" w:color="auto" w:fill="FFFFFF"/>
        <w:spacing w:after="450" w:line="240" w:lineRule="auto"/>
        <w:textAlignment w:val="baseline"/>
        <w:rPr>
          <w:rFonts w:ascii="Helvetica" w:eastAsia="Times New Roman" w:hAnsi="Helvetica" w:cs="Helvetica"/>
          <w:color w:val="333333"/>
          <w:sz w:val="27"/>
          <w:szCs w:val="27"/>
        </w:rPr>
      </w:pPr>
      <w:r w:rsidRPr="00531C9F">
        <w:rPr>
          <w:rFonts w:ascii="Helvetica" w:eastAsia="Times New Roman" w:hAnsi="Helvetica" w:cs="Helvetica"/>
          <w:color w:val="333333"/>
          <w:sz w:val="27"/>
          <w:szCs w:val="27"/>
        </w:rPr>
        <w:t>На корисничком интерфејсу корисник СЕФ-а приступа електронском евидентирању обрачуна ПДВ избором опције „Збирна евиденција ПДВ“ у главном менију.</w:t>
      </w:r>
    </w:p>
    <w:p w:rsidR="00531C9F" w:rsidRPr="00531C9F" w:rsidRDefault="00531C9F" w:rsidP="00531C9F">
      <w:pPr>
        <w:shd w:val="clear" w:color="auto" w:fill="FFFFFF"/>
        <w:spacing w:after="450" w:line="240" w:lineRule="auto"/>
        <w:textAlignment w:val="baseline"/>
        <w:rPr>
          <w:rFonts w:ascii="Helvetica" w:eastAsia="Times New Roman" w:hAnsi="Helvetica" w:cs="Helvetica"/>
          <w:color w:val="333333"/>
          <w:sz w:val="27"/>
          <w:szCs w:val="27"/>
        </w:rPr>
      </w:pPr>
      <w:r w:rsidRPr="00531C9F">
        <w:rPr>
          <w:rFonts w:ascii="Helvetica" w:eastAsia="Times New Roman" w:hAnsi="Helvetica" w:cs="Helvetica"/>
          <w:color w:val="333333"/>
          <w:sz w:val="27"/>
          <w:szCs w:val="27"/>
        </w:rPr>
        <w:t>Листа Збирних евиденција ПДВ је задржала све податке и функционалности. Избором опције „Додај нову Збирну евиденцију ПДВ“ отвара се форма за унос података.</w:t>
      </w:r>
    </w:p>
    <w:p w:rsidR="00531C9F" w:rsidRPr="00531C9F" w:rsidRDefault="00531C9F" w:rsidP="00531C9F">
      <w:pPr>
        <w:shd w:val="clear" w:color="auto" w:fill="FFFFFF"/>
        <w:spacing w:after="450" w:line="240" w:lineRule="auto"/>
        <w:textAlignment w:val="baseline"/>
        <w:rPr>
          <w:rFonts w:ascii="Helvetica" w:eastAsia="Times New Roman" w:hAnsi="Helvetica" w:cs="Helvetica"/>
          <w:color w:val="333333"/>
          <w:sz w:val="27"/>
          <w:szCs w:val="27"/>
        </w:rPr>
      </w:pPr>
      <w:r w:rsidRPr="00531C9F">
        <w:rPr>
          <w:rFonts w:ascii="Helvetica" w:eastAsia="Times New Roman" w:hAnsi="Helvetica" w:cs="Helvetica"/>
          <w:color w:val="333333"/>
          <w:sz w:val="27"/>
          <w:szCs w:val="27"/>
        </w:rPr>
        <w:t>Збирна евиденција ПДВ садржи податке који се односе на:</w:t>
      </w:r>
    </w:p>
    <w:p w:rsidR="00531C9F" w:rsidRPr="00531C9F" w:rsidRDefault="00531C9F" w:rsidP="00531C9F">
      <w:pPr>
        <w:numPr>
          <w:ilvl w:val="0"/>
          <w:numId w:val="7"/>
        </w:numPr>
        <w:shd w:val="clear" w:color="auto" w:fill="FFFFFF"/>
        <w:spacing w:after="0" w:line="240" w:lineRule="auto"/>
        <w:ind w:left="300"/>
        <w:textAlignment w:val="baseline"/>
        <w:rPr>
          <w:rFonts w:ascii="inherit" w:eastAsia="Times New Roman" w:hAnsi="inherit" w:cs="Helvetica"/>
          <w:color w:val="333333"/>
          <w:sz w:val="27"/>
          <w:szCs w:val="27"/>
        </w:rPr>
      </w:pPr>
      <w:r w:rsidRPr="00531C9F">
        <w:rPr>
          <w:rFonts w:ascii="inherit" w:eastAsia="Times New Roman" w:hAnsi="inherit" w:cs="Helvetica"/>
          <w:color w:val="333333"/>
          <w:sz w:val="27"/>
          <w:szCs w:val="27"/>
        </w:rPr>
        <w:t>Аванс за промет</w:t>
      </w:r>
    </w:p>
    <w:p w:rsidR="00531C9F" w:rsidRPr="00531C9F" w:rsidRDefault="00531C9F" w:rsidP="00531C9F">
      <w:pPr>
        <w:numPr>
          <w:ilvl w:val="0"/>
          <w:numId w:val="7"/>
        </w:numPr>
        <w:shd w:val="clear" w:color="auto" w:fill="FFFFFF"/>
        <w:spacing w:after="0" w:line="240" w:lineRule="auto"/>
        <w:ind w:left="300"/>
        <w:textAlignment w:val="baseline"/>
        <w:rPr>
          <w:rFonts w:ascii="inherit" w:eastAsia="Times New Roman" w:hAnsi="inherit" w:cs="Helvetica"/>
          <w:color w:val="333333"/>
          <w:sz w:val="27"/>
          <w:szCs w:val="27"/>
        </w:rPr>
      </w:pPr>
      <w:r w:rsidRPr="00531C9F">
        <w:rPr>
          <w:rFonts w:ascii="inherit" w:eastAsia="Times New Roman" w:hAnsi="inherit" w:cs="Helvetica"/>
          <w:color w:val="333333"/>
          <w:sz w:val="27"/>
          <w:szCs w:val="27"/>
        </w:rPr>
        <w:t>Промет уз накнаду</w:t>
      </w:r>
    </w:p>
    <w:p w:rsidR="00531C9F" w:rsidRDefault="00531C9F" w:rsidP="00531C9F">
      <w:pPr>
        <w:numPr>
          <w:ilvl w:val="0"/>
          <w:numId w:val="7"/>
        </w:numPr>
        <w:shd w:val="clear" w:color="auto" w:fill="FFFFFF"/>
        <w:spacing w:after="0" w:line="240" w:lineRule="auto"/>
        <w:ind w:left="300"/>
        <w:textAlignment w:val="baseline"/>
        <w:rPr>
          <w:rFonts w:ascii="inherit" w:eastAsia="Times New Roman" w:hAnsi="inherit" w:cs="Helvetica"/>
          <w:color w:val="333333"/>
          <w:sz w:val="27"/>
          <w:szCs w:val="27"/>
        </w:rPr>
      </w:pPr>
      <w:r w:rsidRPr="00531C9F">
        <w:rPr>
          <w:rFonts w:ascii="inherit" w:eastAsia="Times New Roman" w:hAnsi="inherit" w:cs="Helvetica"/>
          <w:color w:val="333333"/>
          <w:sz w:val="27"/>
          <w:szCs w:val="27"/>
        </w:rPr>
        <w:t>Промет без накнад</w:t>
      </w:r>
      <w:r>
        <w:rPr>
          <w:rFonts w:ascii="inherit" w:eastAsia="Times New Roman" w:hAnsi="inherit" w:cs="Helvetica"/>
          <w:color w:val="333333"/>
          <w:sz w:val="27"/>
          <w:szCs w:val="27"/>
        </w:rPr>
        <w:t>e</w:t>
      </w:r>
    </w:p>
    <w:p w:rsidR="00531C9F" w:rsidRPr="00531C9F" w:rsidRDefault="00531C9F" w:rsidP="00531C9F">
      <w:pPr>
        <w:numPr>
          <w:ilvl w:val="0"/>
          <w:numId w:val="7"/>
        </w:numPr>
        <w:shd w:val="clear" w:color="auto" w:fill="FFFFFF"/>
        <w:spacing w:after="0" w:line="240" w:lineRule="auto"/>
        <w:textAlignment w:val="baseline"/>
        <w:rPr>
          <w:rFonts w:ascii="inherit" w:eastAsia="Times New Roman" w:hAnsi="inherit" w:cs="Helvetica"/>
          <w:color w:val="333333"/>
          <w:sz w:val="27"/>
          <w:szCs w:val="27"/>
        </w:rPr>
      </w:pPr>
      <w:r w:rsidRPr="00531C9F">
        <w:rPr>
          <w:rFonts w:ascii="inherit" w:eastAsia="Times New Roman" w:hAnsi="inherit" w:cs="Helvetica"/>
          <w:color w:val="333333"/>
          <w:sz w:val="27"/>
          <w:szCs w:val="27"/>
        </w:rPr>
        <w:t>Посебне поступке опорезивања</w:t>
      </w:r>
    </w:p>
    <w:p w:rsidR="00531C9F" w:rsidRPr="00531C9F" w:rsidRDefault="00531C9F" w:rsidP="00531C9F">
      <w:pPr>
        <w:numPr>
          <w:ilvl w:val="0"/>
          <w:numId w:val="7"/>
        </w:numPr>
        <w:shd w:val="clear" w:color="auto" w:fill="FFFFFF"/>
        <w:spacing w:after="0" w:line="240" w:lineRule="auto"/>
        <w:textAlignment w:val="baseline"/>
        <w:rPr>
          <w:rFonts w:ascii="inherit" w:eastAsia="Times New Roman" w:hAnsi="inherit" w:cs="Helvetica"/>
          <w:color w:val="333333"/>
          <w:sz w:val="27"/>
          <w:szCs w:val="27"/>
        </w:rPr>
      </w:pPr>
      <w:r w:rsidRPr="00531C9F">
        <w:rPr>
          <w:rFonts w:ascii="inherit" w:eastAsia="Times New Roman" w:hAnsi="inherit" w:cs="Helvetica"/>
          <w:color w:val="333333"/>
          <w:sz w:val="27"/>
          <w:szCs w:val="27"/>
        </w:rPr>
        <w:t>Повећање/Смањење основице, односно ПДВ – порески дужник испоручилац</w:t>
      </w:r>
    </w:p>
    <w:p w:rsidR="00531C9F" w:rsidRPr="00531C9F" w:rsidRDefault="00531C9F" w:rsidP="00531C9F">
      <w:pPr>
        <w:numPr>
          <w:ilvl w:val="0"/>
          <w:numId w:val="7"/>
        </w:numPr>
        <w:shd w:val="clear" w:color="auto" w:fill="FFFFFF"/>
        <w:spacing w:after="0" w:line="240" w:lineRule="auto"/>
        <w:textAlignment w:val="baseline"/>
        <w:rPr>
          <w:rFonts w:ascii="inherit" w:eastAsia="Times New Roman" w:hAnsi="inherit" w:cs="Helvetica"/>
          <w:color w:val="333333"/>
          <w:sz w:val="27"/>
          <w:szCs w:val="27"/>
        </w:rPr>
      </w:pPr>
      <w:r w:rsidRPr="00531C9F">
        <w:rPr>
          <w:rFonts w:ascii="inherit" w:eastAsia="Times New Roman" w:hAnsi="inherit" w:cs="Helvetica"/>
          <w:color w:val="333333"/>
          <w:sz w:val="27"/>
          <w:szCs w:val="27"/>
        </w:rPr>
        <w:t>Повећање/Смањење основице, односно ПДВ – порески дужник прималац</w:t>
      </w:r>
    </w:p>
    <w:p w:rsidR="00531C9F" w:rsidRPr="00531C9F" w:rsidRDefault="00531C9F" w:rsidP="00531C9F">
      <w:pPr>
        <w:numPr>
          <w:ilvl w:val="0"/>
          <w:numId w:val="7"/>
        </w:numPr>
        <w:shd w:val="clear" w:color="auto" w:fill="FFFFFF"/>
        <w:spacing w:after="0" w:line="240" w:lineRule="auto"/>
        <w:textAlignment w:val="baseline"/>
        <w:rPr>
          <w:rFonts w:ascii="inherit" w:eastAsia="Times New Roman" w:hAnsi="inherit" w:cs="Helvetica"/>
          <w:color w:val="333333"/>
          <w:sz w:val="27"/>
          <w:szCs w:val="27"/>
        </w:rPr>
      </w:pPr>
      <w:r w:rsidRPr="00531C9F">
        <w:rPr>
          <w:rFonts w:ascii="inherit" w:eastAsia="Times New Roman" w:hAnsi="inherit" w:cs="Helvetica"/>
          <w:color w:val="333333"/>
          <w:sz w:val="27"/>
          <w:szCs w:val="27"/>
        </w:rPr>
        <w:t>Сторнирање – порески дужник испоручилац</w:t>
      </w:r>
    </w:p>
    <w:p w:rsidR="00531C9F" w:rsidRPr="00531C9F" w:rsidRDefault="00531C9F" w:rsidP="00531C9F">
      <w:pPr>
        <w:numPr>
          <w:ilvl w:val="0"/>
          <w:numId w:val="7"/>
        </w:numPr>
        <w:shd w:val="clear" w:color="auto" w:fill="FFFFFF"/>
        <w:spacing w:after="0" w:line="240" w:lineRule="auto"/>
        <w:textAlignment w:val="baseline"/>
        <w:rPr>
          <w:rFonts w:ascii="inherit" w:eastAsia="Times New Roman" w:hAnsi="inherit" w:cs="Helvetica"/>
          <w:color w:val="333333"/>
          <w:sz w:val="27"/>
          <w:szCs w:val="27"/>
        </w:rPr>
      </w:pPr>
      <w:r w:rsidRPr="00531C9F">
        <w:rPr>
          <w:rFonts w:ascii="inherit" w:eastAsia="Times New Roman" w:hAnsi="inherit" w:cs="Helvetica"/>
          <w:color w:val="333333"/>
          <w:sz w:val="27"/>
          <w:szCs w:val="27"/>
        </w:rPr>
        <w:t>Сторнирање – порески дужник прималац</w:t>
      </w:r>
    </w:p>
    <w:p w:rsidR="00531C9F" w:rsidRPr="00531C9F" w:rsidRDefault="00531C9F" w:rsidP="00531C9F">
      <w:pPr>
        <w:shd w:val="clear" w:color="auto" w:fill="FFFFFF"/>
        <w:spacing w:after="450" w:line="240" w:lineRule="auto"/>
        <w:textAlignment w:val="baseline"/>
        <w:rPr>
          <w:rFonts w:ascii="Helvetica" w:eastAsia="Times New Roman" w:hAnsi="Helvetica" w:cs="Helvetica"/>
          <w:color w:val="333333"/>
          <w:sz w:val="27"/>
          <w:szCs w:val="27"/>
        </w:rPr>
      </w:pPr>
      <w:r w:rsidRPr="00531C9F">
        <w:rPr>
          <w:rFonts w:ascii="Helvetica" w:eastAsia="Times New Roman" w:hAnsi="Helvetica" w:cs="Helvetica"/>
          <w:color w:val="333333"/>
          <w:sz w:val="27"/>
          <w:szCs w:val="27"/>
        </w:rPr>
        <w:t>Поступак уноса, евидентирања, кориговања и поништавања збирне евиденције ПДВ врши се на исти начин као и до сада.</w:t>
      </w:r>
    </w:p>
    <w:p w:rsidR="00531C9F" w:rsidRPr="00531C9F" w:rsidRDefault="00531C9F" w:rsidP="00531C9F">
      <w:pPr>
        <w:shd w:val="clear" w:color="auto" w:fill="FFFFFF"/>
        <w:spacing w:after="450" w:line="240" w:lineRule="auto"/>
        <w:textAlignment w:val="baseline"/>
        <w:rPr>
          <w:rFonts w:ascii="Helvetica" w:eastAsia="Times New Roman" w:hAnsi="Helvetica" w:cs="Helvetica"/>
          <w:color w:val="333333"/>
          <w:sz w:val="27"/>
          <w:szCs w:val="27"/>
        </w:rPr>
      </w:pPr>
      <w:r w:rsidRPr="00531C9F">
        <w:rPr>
          <w:rFonts w:ascii="Helvetica" w:eastAsia="Times New Roman" w:hAnsi="Helvetica" w:cs="Helvetica"/>
          <w:color w:val="333333"/>
          <w:sz w:val="27"/>
          <w:szCs w:val="27"/>
        </w:rPr>
        <w:lastRenderedPageBreak/>
        <w:t>У табели у наставку налазе се предложени називи поља и подаци које ће корисници уносити.</w:t>
      </w:r>
    </w:p>
    <w:tbl>
      <w:tblPr>
        <w:tblW w:w="10083" w:type="dxa"/>
        <w:tblCellSpacing w:w="15" w:type="dxa"/>
        <w:tblBorders>
          <w:top w:val="single" w:sz="6" w:space="0" w:color="DDDDDD"/>
          <w:left w:val="single" w:sz="6" w:space="0" w:color="DDDDDD"/>
          <w:right w:val="single" w:sz="6" w:space="0" w:color="DDDDDD"/>
        </w:tblBorders>
        <w:tblCellMar>
          <w:top w:w="15" w:type="dxa"/>
          <w:left w:w="15" w:type="dxa"/>
          <w:bottom w:w="15" w:type="dxa"/>
          <w:right w:w="15" w:type="dxa"/>
        </w:tblCellMar>
        <w:tblLook w:val="04A0" w:firstRow="1" w:lastRow="0" w:firstColumn="1" w:lastColumn="0" w:noHBand="0" w:noVBand="1"/>
      </w:tblPr>
      <w:tblGrid>
        <w:gridCol w:w="2561"/>
        <w:gridCol w:w="30"/>
        <w:gridCol w:w="1798"/>
        <w:gridCol w:w="30"/>
        <w:gridCol w:w="1979"/>
        <w:gridCol w:w="30"/>
        <w:gridCol w:w="1768"/>
        <w:gridCol w:w="30"/>
        <w:gridCol w:w="1857"/>
      </w:tblGrid>
      <w:tr w:rsidR="00531C9F" w:rsidRPr="00531C9F" w:rsidTr="00531C9F">
        <w:trPr>
          <w:tblHeader/>
          <w:tblCellSpacing w:w="15" w:type="dxa"/>
        </w:trPr>
        <w:tc>
          <w:tcPr>
            <w:tcW w:w="2313" w:type="dxa"/>
            <w:tcBorders>
              <w:top w:val="single" w:sz="6" w:space="0" w:color="DDDDDD"/>
              <w:left w:val="nil"/>
              <w:bottom w:val="single" w:sz="6"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24"/>
                <w:szCs w:val="24"/>
              </w:rPr>
            </w:pPr>
          </w:p>
        </w:tc>
        <w:tc>
          <w:tcPr>
            <w:tcW w:w="2846" w:type="dxa"/>
            <w:gridSpan w:val="3"/>
            <w:tcBorders>
              <w:top w:val="single" w:sz="6" w:space="0" w:color="DDDDDD"/>
              <w:left w:val="nil"/>
              <w:bottom w:val="single" w:sz="6"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24"/>
                <w:szCs w:val="24"/>
              </w:rPr>
            </w:pPr>
          </w:p>
        </w:tc>
        <w:tc>
          <w:tcPr>
            <w:tcW w:w="1875" w:type="dxa"/>
            <w:gridSpan w:val="2"/>
            <w:tcBorders>
              <w:top w:val="single" w:sz="6" w:space="0" w:color="DDDDDD"/>
              <w:left w:val="nil"/>
              <w:bottom w:val="single" w:sz="6"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24"/>
                <w:szCs w:val="24"/>
              </w:rPr>
            </w:pPr>
          </w:p>
        </w:tc>
        <w:tc>
          <w:tcPr>
            <w:tcW w:w="1473" w:type="dxa"/>
            <w:gridSpan w:val="2"/>
            <w:tcBorders>
              <w:top w:val="single" w:sz="6" w:space="0" w:color="DDDDDD"/>
              <w:left w:val="nil"/>
              <w:bottom w:val="single" w:sz="6"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24"/>
                <w:szCs w:val="24"/>
              </w:rPr>
            </w:pPr>
          </w:p>
        </w:tc>
        <w:tc>
          <w:tcPr>
            <w:tcW w:w="1470" w:type="dxa"/>
            <w:tcBorders>
              <w:top w:val="single" w:sz="6" w:space="0" w:color="DDDDDD"/>
              <w:left w:val="nil"/>
              <w:bottom w:val="single" w:sz="6"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24"/>
                <w:szCs w:val="24"/>
              </w:rPr>
            </w:pPr>
          </w:p>
        </w:tc>
      </w:tr>
      <w:tr w:rsidR="00531C9F" w:rsidRPr="00531C9F" w:rsidTr="00531C9F">
        <w:trPr>
          <w:tblHeader/>
          <w:tblCellSpacing w:w="15" w:type="dxa"/>
        </w:trPr>
        <w:tc>
          <w:tcPr>
            <w:tcW w:w="2313" w:type="dxa"/>
            <w:gridSpan w:val="2"/>
            <w:tcBorders>
              <w:top w:val="single" w:sz="2" w:space="0" w:color="DDDDDD"/>
              <w:left w:val="nil"/>
              <w:bottom w:val="single" w:sz="2"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1"/>
                <w:szCs w:val="19"/>
              </w:rPr>
            </w:pPr>
          </w:p>
        </w:tc>
        <w:tc>
          <w:tcPr>
            <w:tcW w:w="2846" w:type="dxa"/>
            <w:tcBorders>
              <w:top w:val="single" w:sz="2" w:space="0" w:color="DDDDDD"/>
              <w:left w:val="nil"/>
              <w:bottom w:val="single" w:sz="2"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1"/>
                <w:szCs w:val="19"/>
              </w:rPr>
            </w:pPr>
          </w:p>
        </w:tc>
        <w:tc>
          <w:tcPr>
            <w:tcW w:w="1875" w:type="dxa"/>
            <w:gridSpan w:val="2"/>
            <w:tcBorders>
              <w:top w:val="single" w:sz="2" w:space="0" w:color="DDDDDD"/>
              <w:left w:val="nil"/>
              <w:bottom w:val="single" w:sz="2"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1"/>
                <w:szCs w:val="19"/>
              </w:rPr>
            </w:pPr>
          </w:p>
        </w:tc>
        <w:tc>
          <w:tcPr>
            <w:tcW w:w="1473" w:type="dxa"/>
            <w:gridSpan w:val="2"/>
            <w:tcBorders>
              <w:top w:val="single" w:sz="2" w:space="0" w:color="DDDDDD"/>
              <w:left w:val="nil"/>
              <w:bottom w:val="single" w:sz="2"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1"/>
                <w:szCs w:val="19"/>
              </w:rPr>
            </w:pPr>
          </w:p>
        </w:tc>
        <w:tc>
          <w:tcPr>
            <w:tcW w:w="1470" w:type="dxa"/>
            <w:gridSpan w:val="2"/>
            <w:tcBorders>
              <w:top w:val="single" w:sz="2" w:space="0" w:color="DDDDDD"/>
              <w:left w:val="nil"/>
              <w:bottom w:val="single" w:sz="2" w:space="0" w:color="111111"/>
              <w:right w:val="single" w:sz="6" w:space="0" w:color="DDDDDD"/>
            </w:tcBorders>
            <w:tcMar>
              <w:top w:w="0" w:type="dxa"/>
              <w:left w:w="0" w:type="dxa"/>
              <w:bottom w:w="0" w:type="dxa"/>
              <w:right w:w="0" w:type="dxa"/>
            </w:tcMar>
            <w:vAlign w:val="bottom"/>
            <w:hideMark/>
          </w:tcPr>
          <w:p w:rsidR="00531C9F" w:rsidRPr="00531C9F" w:rsidRDefault="00531C9F" w:rsidP="00531C9F">
            <w:pPr>
              <w:spacing w:after="0" w:line="240" w:lineRule="auto"/>
              <w:jc w:val="center"/>
              <w:rPr>
                <w:rFonts w:ascii="inherit" w:eastAsia="Times New Roman" w:hAnsi="inherit" w:cs="Times New Roman"/>
                <w:b/>
                <w:bCs/>
                <w:sz w:val="1"/>
                <w:szCs w:val="19"/>
              </w:rPr>
            </w:pPr>
          </w:p>
        </w:tc>
      </w:tr>
      <w:tr w:rsidR="00531C9F" w:rsidRPr="00531C9F" w:rsidTr="00531C9F">
        <w:trPr>
          <w:tblCellSpacing w:w="15" w:type="dxa"/>
        </w:trPr>
        <w:tc>
          <w:tcPr>
            <w:tcW w:w="1999" w:type="dxa"/>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b/>
                <w:bCs/>
                <w:sz w:val="19"/>
                <w:szCs w:val="19"/>
              </w:rPr>
            </w:pPr>
            <w:r w:rsidRPr="00531C9F">
              <w:rPr>
                <w:rFonts w:ascii="inherit" w:eastAsia="Times New Roman" w:hAnsi="inherit" w:cs="Times New Roman"/>
                <w:b/>
                <w:bCs/>
                <w:sz w:val="19"/>
                <w:szCs w:val="19"/>
              </w:rPr>
              <w:t>Јединствени идентификатор</w:t>
            </w:r>
          </w:p>
        </w:tc>
        <w:tc>
          <w:tcPr>
            <w:tcW w:w="2531" w:type="dxa"/>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b/>
                <w:bCs/>
                <w:sz w:val="19"/>
                <w:szCs w:val="19"/>
              </w:rPr>
            </w:pPr>
            <w:r w:rsidRPr="00531C9F">
              <w:rPr>
                <w:rFonts w:ascii="inherit" w:eastAsia="Times New Roman" w:hAnsi="inherit" w:cs="Times New Roman"/>
                <w:b/>
                <w:bCs/>
                <w:sz w:val="19"/>
                <w:szCs w:val="19"/>
              </w:rPr>
              <w:t>Статус</w:t>
            </w:r>
          </w:p>
        </w:tc>
        <w:tc>
          <w:tcPr>
            <w:tcW w:w="1560" w:type="dxa"/>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b/>
                <w:bCs/>
                <w:sz w:val="19"/>
                <w:szCs w:val="19"/>
              </w:rPr>
            </w:pPr>
            <w:r w:rsidRPr="00531C9F">
              <w:rPr>
                <w:rFonts w:ascii="inherit" w:eastAsia="Times New Roman" w:hAnsi="inherit" w:cs="Times New Roman"/>
                <w:b/>
                <w:bCs/>
                <w:sz w:val="19"/>
                <w:szCs w:val="19"/>
              </w:rPr>
              <w:t>Датум евидентирања</w:t>
            </w:r>
          </w:p>
        </w:tc>
        <w:tc>
          <w:tcPr>
            <w:tcW w:w="1880" w:type="dxa"/>
            <w:gridSpan w:val="4"/>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b/>
                <w:bCs/>
                <w:sz w:val="19"/>
                <w:szCs w:val="19"/>
              </w:rPr>
            </w:pPr>
            <w:r w:rsidRPr="00531C9F">
              <w:rPr>
                <w:rFonts w:ascii="inherit" w:eastAsia="Times New Roman" w:hAnsi="inherit" w:cs="Times New Roman"/>
                <w:b/>
                <w:bCs/>
                <w:sz w:val="19"/>
                <w:szCs w:val="19"/>
              </w:rPr>
              <w:t>Број Збирне евиденције ПДВ</w:t>
            </w:r>
          </w:p>
        </w:tc>
      </w:tr>
      <w:tr w:rsidR="00531C9F" w:rsidRPr="00531C9F" w:rsidTr="00531C9F">
        <w:trPr>
          <w:tblCellSpacing w:w="15" w:type="dxa"/>
        </w:trPr>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b/>
                <w:bCs/>
                <w:sz w:val="19"/>
                <w:szCs w:val="19"/>
              </w:rPr>
            </w:pPr>
            <w:r w:rsidRPr="00531C9F">
              <w:rPr>
                <w:rFonts w:ascii="inherit" w:eastAsia="Times New Roman" w:hAnsi="inherit" w:cs="Times New Roman"/>
                <w:b/>
                <w:bCs/>
                <w:sz w:val="19"/>
                <w:szCs w:val="19"/>
              </w:rPr>
              <w:t>Година</w:t>
            </w:r>
          </w:p>
        </w:tc>
        <w:tc>
          <w:tcPr>
            <w:tcW w:w="0" w:type="auto"/>
            <w:gridSpan w:val="3"/>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b/>
                <w:bCs/>
                <w:sz w:val="19"/>
                <w:szCs w:val="19"/>
              </w:rPr>
            </w:pPr>
            <w:r w:rsidRPr="00531C9F">
              <w:rPr>
                <w:rFonts w:ascii="inherit" w:eastAsia="Times New Roman" w:hAnsi="inherit" w:cs="Times New Roman"/>
                <w:b/>
                <w:bCs/>
                <w:sz w:val="19"/>
                <w:szCs w:val="19"/>
              </w:rPr>
              <w:t>Порески период</w:t>
            </w:r>
          </w:p>
        </w:tc>
        <w:tc>
          <w:tcPr>
            <w:tcW w:w="0" w:type="auto"/>
            <w:gridSpan w:val="4"/>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b/>
                <w:bCs/>
                <w:sz w:val="19"/>
                <w:szCs w:val="19"/>
              </w:rPr>
            </w:pPr>
            <w:r w:rsidRPr="00531C9F">
              <w:rPr>
                <w:rFonts w:ascii="inherit" w:eastAsia="Times New Roman" w:hAnsi="inherit" w:cs="Times New Roman"/>
                <w:b/>
                <w:bCs/>
                <w:sz w:val="19"/>
                <w:szCs w:val="19"/>
              </w:rPr>
              <w:t>Период</w:t>
            </w:r>
          </w:p>
        </w:tc>
      </w:tr>
      <w:tr w:rsidR="00531C9F" w:rsidRPr="00531C9F" w:rsidTr="00531C9F">
        <w:trPr>
          <w:tblCellSpacing w:w="15" w:type="dxa"/>
        </w:trPr>
        <w:tc>
          <w:tcPr>
            <w:tcW w:w="0" w:type="auto"/>
            <w:gridSpan w:val="2"/>
            <w:tcBorders>
              <w:top w:val="nil"/>
              <w:left w:val="nil"/>
              <w:bottom w:val="nil"/>
              <w:right w:val="nil"/>
            </w:tcBorders>
            <w:shd w:val="clear" w:color="auto" w:fill="676767"/>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p>
        </w:tc>
        <w:tc>
          <w:tcPr>
            <w:tcW w:w="0" w:type="auto"/>
            <w:tcBorders>
              <w:top w:val="nil"/>
              <w:left w:val="nil"/>
              <w:bottom w:val="nil"/>
              <w:right w:val="nil"/>
            </w:tcBorders>
            <w:shd w:val="clear" w:color="auto" w:fill="676767"/>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p>
        </w:tc>
        <w:tc>
          <w:tcPr>
            <w:tcW w:w="0" w:type="auto"/>
            <w:gridSpan w:val="2"/>
            <w:tcBorders>
              <w:top w:val="nil"/>
              <w:left w:val="nil"/>
              <w:bottom w:val="nil"/>
              <w:right w:val="nil"/>
            </w:tcBorders>
            <w:shd w:val="clear" w:color="auto" w:fill="676767"/>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p>
        </w:tc>
        <w:tc>
          <w:tcPr>
            <w:tcW w:w="0" w:type="auto"/>
            <w:gridSpan w:val="2"/>
            <w:tcBorders>
              <w:top w:val="nil"/>
              <w:left w:val="nil"/>
              <w:bottom w:val="nil"/>
              <w:right w:val="nil"/>
            </w:tcBorders>
            <w:shd w:val="clear" w:color="auto" w:fill="676767"/>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p>
        </w:tc>
        <w:tc>
          <w:tcPr>
            <w:tcW w:w="0" w:type="auto"/>
            <w:gridSpan w:val="2"/>
            <w:tcBorders>
              <w:top w:val="nil"/>
              <w:left w:val="nil"/>
              <w:bottom w:val="nil"/>
              <w:right w:val="nil"/>
            </w:tcBorders>
            <w:shd w:val="clear" w:color="auto" w:fill="676767"/>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p>
        </w:tc>
      </w:tr>
      <w:tr w:rsidR="00531C9F" w:rsidRPr="00531C9F" w:rsidTr="00531C9F">
        <w:trPr>
          <w:tblCellSpacing w:w="15" w:type="dxa"/>
        </w:trPr>
        <w:tc>
          <w:tcPr>
            <w:tcW w:w="0" w:type="auto"/>
            <w:gridSpan w:val="2"/>
            <w:vMerge w:val="restart"/>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b/>
                <w:bCs/>
                <w:sz w:val="19"/>
                <w:szCs w:val="19"/>
              </w:rPr>
            </w:pPr>
            <w:r w:rsidRPr="00531C9F">
              <w:rPr>
                <w:rFonts w:ascii="inherit" w:eastAsia="Times New Roman" w:hAnsi="inherit" w:cs="Times New Roman"/>
                <w:b/>
                <w:bCs/>
                <w:sz w:val="19"/>
                <w:szCs w:val="19"/>
              </w:rPr>
              <w:t>Аванс за промет</w:t>
            </w: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r w:rsidRPr="00531C9F">
              <w:rPr>
                <w:rFonts w:ascii="inherit" w:eastAsia="Times New Roman" w:hAnsi="inherit" w:cs="Times New Roman"/>
                <w:sz w:val="19"/>
                <w:szCs w:val="19"/>
              </w:rPr>
              <w:t>Аванс за промет по стопи од 20%</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r w:rsidRPr="00531C9F">
              <w:rPr>
                <w:rFonts w:ascii="inherit" w:eastAsia="Times New Roman" w:hAnsi="inherit" w:cs="Times New Roman"/>
                <w:sz w:val="19"/>
                <w:szCs w:val="19"/>
              </w:rPr>
              <w:t>Износ авансне уплате</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r w:rsidRPr="00531C9F">
              <w:rPr>
                <w:rFonts w:ascii="inherit" w:eastAsia="Times New Roman" w:hAnsi="inherit" w:cs="Times New Roman"/>
                <w:sz w:val="19"/>
                <w:szCs w:val="19"/>
              </w:rPr>
              <w:t>Основица</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r w:rsidRPr="00531C9F">
              <w:rPr>
                <w:rFonts w:ascii="inherit" w:eastAsia="Times New Roman" w:hAnsi="inherit" w:cs="Times New Roman"/>
                <w:sz w:val="19"/>
                <w:szCs w:val="19"/>
              </w:rPr>
              <w:t>Обрачунати ПДВ - аванс по стопи од 20%</w:t>
            </w:r>
          </w:p>
        </w:tc>
      </w:tr>
      <w:tr w:rsidR="00531C9F" w:rsidRPr="00531C9F" w:rsidTr="00531C9F">
        <w:trPr>
          <w:tblCellSpacing w:w="15" w:type="dxa"/>
        </w:trPr>
        <w:tc>
          <w:tcPr>
            <w:tcW w:w="0" w:type="auto"/>
            <w:gridSpan w:val="2"/>
            <w:vMerge/>
            <w:tcBorders>
              <w:top w:val="nil"/>
              <w:left w:val="nil"/>
              <w:bottom w:val="nil"/>
              <w:right w:val="nil"/>
            </w:tcBorders>
            <w:shd w:val="clear" w:color="auto" w:fill="FFFFFF"/>
            <w:tcMar>
              <w:top w:w="0" w:type="dxa"/>
              <w:left w:w="0" w:type="dxa"/>
              <w:bottom w:w="0" w:type="dxa"/>
              <w:right w:w="0" w:type="dxa"/>
            </w:tcMar>
            <w:vAlign w:val="center"/>
            <w:hideMark/>
          </w:tcPr>
          <w:p w:rsidR="00531C9F" w:rsidRPr="00531C9F" w:rsidRDefault="00531C9F" w:rsidP="00531C9F">
            <w:pPr>
              <w:spacing w:after="0" w:line="240" w:lineRule="auto"/>
              <w:rPr>
                <w:rFonts w:ascii="inherit" w:eastAsia="Times New Roman" w:hAnsi="inherit" w:cs="Times New Roman"/>
                <w:b/>
                <w:bCs/>
                <w:sz w:val="19"/>
                <w:szCs w:val="19"/>
              </w:rPr>
            </w:pP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r w:rsidRPr="00531C9F">
              <w:rPr>
                <w:rFonts w:ascii="inherit" w:eastAsia="Times New Roman" w:hAnsi="inherit" w:cs="Times New Roman"/>
                <w:sz w:val="19"/>
                <w:szCs w:val="19"/>
              </w:rPr>
              <w:t>Аванс за промет по стопи од 10%</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r w:rsidRPr="00531C9F">
              <w:rPr>
                <w:rFonts w:ascii="inherit" w:eastAsia="Times New Roman" w:hAnsi="inherit" w:cs="Times New Roman"/>
                <w:sz w:val="19"/>
                <w:szCs w:val="19"/>
              </w:rPr>
              <w:t>Износ авансне уплате</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r w:rsidRPr="00531C9F">
              <w:rPr>
                <w:rFonts w:ascii="inherit" w:eastAsia="Times New Roman" w:hAnsi="inherit" w:cs="Times New Roman"/>
                <w:sz w:val="19"/>
                <w:szCs w:val="19"/>
              </w:rPr>
              <w:t>Основица</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r w:rsidRPr="00531C9F">
              <w:rPr>
                <w:rFonts w:ascii="inherit" w:eastAsia="Times New Roman" w:hAnsi="inherit" w:cs="Times New Roman"/>
                <w:sz w:val="19"/>
                <w:szCs w:val="19"/>
              </w:rPr>
              <w:t>Обрачунати ПДВ - аванс по стопи од 10%</w:t>
            </w:r>
          </w:p>
        </w:tc>
      </w:tr>
      <w:tr w:rsidR="00531C9F" w:rsidRPr="00531C9F" w:rsidTr="00531C9F">
        <w:trPr>
          <w:tblCellSpacing w:w="15" w:type="dxa"/>
        </w:trPr>
        <w:tc>
          <w:tcPr>
            <w:tcW w:w="0" w:type="auto"/>
            <w:gridSpan w:val="2"/>
            <w:tcBorders>
              <w:top w:val="nil"/>
              <w:left w:val="nil"/>
              <w:bottom w:val="nil"/>
              <w:right w:val="nil"/>
            </w:tcBorders>
            <w:shd w:val="clear" w:color="auto" w:fill="676767"/>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p>
        </w:tc>
        <w:tc>
          <w:tcPr>
            <w:tcW w:w="0" w:type="auto"/>
            <w:tcBorders>
              <w:top w:val="nil"/>
              <w:left w:val="nil"/>
              <w:bottom w:val="nil"/>
              <w:right w:val="nil"/>
            </w:tcBorders>
            <w:shd w:val="clear" w:color="auto" w:fill="676767"/>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p>
        </w:tc>
        <w:tc>
          <w:tcPr>
            <w:tcW w:w="0" w:type="auto"/>
            <w:gridSpan w:val="2"/>
            <w:tcBorders>
              <w:top w:val="nil"/>
              <w:left w:val="nil"/>
              <w:bottom w:val="nil"/>
              <w:right w:val="nil"/>
            </w:tcBorders>
            <w:shd w:val="clear" w:color="auto" w:fill="676767"/>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p>
        </w:tc>
        <w:tc>
          <w:tcPr>
            <w:tcW w:w="0" w:type="auto"/>
            <w:gridSpan w:val="2"/>
            <w:tcBorders>
              <w:top w:val="nil"/>
              <w:left w:val="nil"/>
              <w:bottom w:val="nil"/>
              <w:right w:val="nil"/>
            </w:tcBorders>
            <w:shd w:val="clear" w:color="auto" w:fill="676767"/>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p>
        </w:tc>
        <w:tc>
          <w:tcPr>
            <w:tcW w:w="0" w:type="auto"/>
            <w:gridSpan w:val="2"/>
            <w:tcBorders>
              <w:top w:val="nil"/>
              <w:left w:val="nil"/>
              <w:bottom w:val="nil"/>
              <w:right w:val="nil"/>
            </w:tcBorders>
            <w:shd w:val="clear" w:color="auto" w:fill="676767"/>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p>
        </w:tc>
      </w:tr>
      <w:tr w:rsidR="00531C9F" w:rsidRPr="00531C9F" w:rsidTr="00531C9F">
        <w:trPr>
          <w:tblCellSpacing w:w="15" w:type="dxa"/>
        </w:trPr>
        <w:tc>
          <w:tcPr>
            <w:tcW w:w="0" w:type="auto"/>
            <w:gridSpan w:val="2"/>
            <w:vMerge w:val="restart"/>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b/>
                <w:bCs/>
                <w:sz w:val="19"/>
                <w:szCs w:val="19"/>
              </w:rPr>
            </w:pPr>
            <w:r w:rsidRPr="00531C9F">
              <w:rPr>
                <w:rFonts w:ascii="inherit" w:eastAsia="Times New Roman" w:hAnsi="inherit" w:cs="Times New Roman"/>
                <w:b/>
                <w:bCs/>
                <w:sz w:val="19"/>
                <w:szCs w:val="19"/>
              </w:rPr>
              <w:t>Промет уз накнаду</w:t>
            </w: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r w:rsidRPr="00531C9F">
              <w:rPr>
                <w:rFonts w:ascii="inherit" w:eastAsia="Times New Roman" w:hAnsi="inherit" w:cs="Times New Roman"/>
                <w:sz w:val="19"/>
                <w:szCs w:val="19"/>
              </w:rPr>
              <w:t>Промет по стопи од 20%</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r w:rsidRPr="00531C9F">
              <w:rPr>
                <w:rFonts w:ascii="inherit" w:eastAsia="Times New Roman" w:hAnsi="inherit" w:cs="Times New Roman"/>
                <w:sz w:val="19"/>
                <w:szCs w:val="19"/>
              </w:rPr>
              <w:t>Основица</w:t>
            </w:r>
          </w:p>
        </w:tc>
        <w:tc>
          <w:tcPr>
            <w:tcW w:w="0" w:type="auto"/>
            <w:gridSpan w:val="4"/>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r w:rsidRPr="00531C9F">
              <w:rPr>
                <w:rFonts w:ascii="inherit" w:eastAsia="Times New Roman" w:hAnsi="inherit" w:cs="Times New Roman"/>
                <w:sz w:val="19"/>
                <w:szCs w:val="19"/>
              </w:rPr>
              <w:t>Обрачунати ПДВ</w:t>
            </w:r>
          </w:p>
        </w:tc>
      </w:tr>
      <w:tr w:rsidR="00531C9F" w:rsidRPr="00531C9F" w:rsidTr="00531C9F">
        <w:trPr>
          <w:tblCellSpacing w:w="15" w:type="dxa"/>
        </w:trPr>
        <w:tc>
          <w:tcPr>
            <w:tcW w:w="0" w:type="auto"/>
            <w:gridSpan w:val="2"/>
            <w:vMerge/>
            <w:tcBorders>
              <w:top w:val="nil"/>
              <w:left w:val="nil"/>
              <w:bottom w:val="nil"/>
              <w:right w:val="nil"/>
            </w:tcBorders>
            <w:shd w:val="clear" w:color="auto" w:fill="FFFFFF"/>
            <w:tcMar>
              <w:top w:w="0" w:type="dxa"/>
              <w:left w:w="0" w:type="dxa"/>
              <w:bottom w:w="0" w:type="dxa"/>
              <w:right w:w="0" w:type="dxa"/>
            </w:tcMar>
            <w:vAlign w:val="center"/>
            <w:hideMark/>
          </w:tcPr>
          <w:p w:rsidR="00531C9F" w:rsidRPr="00531C9F" w:rsidRDefault="00531C9F" w:rsidP="00531C9F">
            <w:pPr>
              <w:spacing w:after="0" w:line="240" w:lineRule="auto"/>
              <w:rPr>
                <w:rFonts w:ascii="inherit" w:eastAsia="Times New Roman" w:hAnsi="inherit" w:cs="Times New Roman"/>
                <w:b/>
                <w:bCs/>
                <w:sz w:val="19"/>
                <w:szCs w:val="19"/>
              </w:rPr>
            </w:pP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r w:rsidRPr="00531C9F">
              <w:rPr>
                <w:rFonts w:ascii="inherit" w:eastAsia="Times New Roman" w:hAnsi="inherit" w:cs="Times New Roman"/>
                <w:sz w:val="19"/>
                <w:szCs w:val="19"/>
              </w:rPr>
              <w:t>Промет по стопи од 10%</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r w:rsidRPr="00531C9F">
              <w:rPr>
                <w:rFonts w:ascii="inherit" w:eastAsia="Times New Roman" w:hAnsi="inherit" w:cs="Times New Roman"/>
                <w:sz w:val="19"/>
                <w:szCs w:val="19"/>
              </w:rPr>
              <w:t>Основица</w:t>
            </w:r>
          </w:p>
        </w:tc>
        <w:tc>
          <w:tcPr>
            <w:tcW w:w="0" w:type="auto"/>
            <w:gridSpan w:val="4"/>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r w:rsidRPr="00531C9F">
              <w:rPr>
                <w:rFonts w:ascii="inherit" w:eastAsia="Times New Roman" w:hAnsi="inherit" w:cs="Times New Roman"/>
                <w:sz w:val="19"/>
                <w:szCs w:val="19"/>
              </w:rPr>
              <w:t>Обрачунати ПДВ</w:t>
            </w:r>
          </w:p>
        </w:tc>
      </w:tr>
      <w:tr w:rsidR="00531C9F" w:rsidRPr="00531C9F" w:rsidTr="00531C9F">
        <w:trPr>
          <w:tblCellSpacing w:w="15" w:type="dxa"/>
        </w:trPr>
        <w:tc>
          <w:tcPr>
            <w:tcW w:w="0" w:type="auto"/>
            <w:gridSpan w:val="2"/>
            <w:tcBorders>
              <w:top w:val="nil"/>
              <w:left w:val="nil"/>
              <w:bottom w:val="nil"/>
              <w:right w:val="nil"/>
            </w:tcBorders>
            <w:shd w:val="clear" w:color="auto" w:fill="676767"/>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p>
        </w:tc>
        <w:tc>
          <w:tcPr>
            <w:tcW w:w="0" w:type="auto"/>
            <w:tcBorders>
              <w:top w:val="nil"/>
              <w:left w:val="nil"/>
              <w:bottom w:val="nil"/>
              <w:right w:val="nil"/>
            </w:tcBorders>
            <w:shd w:val="clear" w:color="auto" w:fill="676767"/>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p>
        </w:tc>
        <w:tc>
          <w:tcPr>
            <w:tcW w:w="0" w:type="auto"/>
            <w:gridSpan w:val="2"/>
            <w:tcBorders>
              <w:top w:val="nil"/>
              <w:left w:val="nil"/>
              <w:bottom w:val="nil"/>
              <w:right w:val="nil"/>
            </w:tcBorders>
            <w:shd w:val="clear" w:color="auto" w:fill="676767"/>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p>
        </w:tc>
        <w:tc>
          <w:tcPr>
            <w:tcW w:w="0" w:type="auto"/>
            <w:gridSpan w:val="2"/>
            <w:tcBorders>
              <w:top w:val="nil"/>
              <w:left w:val="nil"/>
              <w:bottom w:val="nil"/>
              <w:right w:val="nil"/>
            </w:tcBorders>
            <w:shd w:val="clear" w:color="auto" w:fill="676767"/>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p>
        </w:tc>
        <w:tc>
          <w:tcPr>
            <w:tcW w:w="0" w:type="auto"/>
            <w:gridSpan w:val="2"/>
            <w:tcBorders>
              <w:top w:val="nil"/>
              <w:left w:val="nil"/>
              <w:bottom w:val="nil"/>
              <w:right w:val="nil"/>
            </w:tcBorders>
            <w:shd w:val="clear" w:color="auto" w:fill="676767"/>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p>
        </w:tc>
      </w:tr>
      <w:tr w:rsidR="00531C9F" w:rsidRPr="00531C9F" w:rsidTr="00531C9F">
        <w:trPr>
          <w:tblCellSpacing w:w="15" w:type="dxa"/>
        </w:trPr>
        <w:tc>
          <w:tcPr>
            <w:tcW w:w="0" w:type="auto"/>
            <w:gridSpan w:val="2"/>
            <w:vMerge w:val="restart"/>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b/>
                <w:bCs/>
                <w:sz w:val="19"/>
                <w:szCs w:val="19"/>
              </w:rPr>
            </w:pPr>
            <w:r w:rsidRPr="00531C9F">
              <w:rPr>
                <w:rFonts w:ascii="inherit" w:eastAsia="Times New Roman" w:hAnsi="inherit" w:cs="Times New Roman"/>
                <w:b/>
                <w:bCs/>
                <w:sz w:val="19"/>
                <w:szCs w:val="19"/>
              </w:rPr>
              <w:t>Промет без накнаде</w:t>
            </w: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r w:rsidRPr="00531C9F">
              <w:rPr>
                <w:rFonts w:ascii="inherit" w:eastAsia="Times New Roman" w:hAnsi="inherit" w:cs="Times New Roman"/>
                <w:sz w:val="19"/>
                <w:szCs w:val="19"/>
              </w:rPr>
              <w:t>Промет по стопи од 20%</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r w:rsidRPr="00531C9F">
              <w:rPr>
                <w:rFonts w:ascii="inherit" w:eastAsia="Times New Roman" w:hAnsi="inherit" w:cs="Times New Roman"/>
                <w:sz w:val="19"/>
                <w:szCs w:val="19"/>
              </w:rPr>
              <w:t>Основица</w:t>
            </w:r>
          </w:p>
        </w:tc>
        <w:tc>
          <w:tcPr>
            <w:tcW w:w="0" w:type="auto"/>
            <w:gridSpan w:val="4"/>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r w:rsidRPr="00531C9F">
              <w:rPr>
                <w:rFonts w:ascii="inherit" w:eastAsia="Times New Roman" w:hAnsi="inherit" w:cs="Times New Roman"/>
                <w:sz w:val="19"/>
                <w:szCs w:val="19"/>
              </w:rPr>
              <w:t>Обрачунати ПДВ</w:t>
            </w:r>
          </w:p>
        </w:tc>
      </w:tr>
      <w:tr w:rsidR="00531C9F" w:rsidRPr="00531C9F" w:rsidTr="00531C9F">
        <w:trPr>
          <w:tblCellSpacing w:w="15" w:type="dxa"/>
        </w:trPr>
        <w:tc>
          <w:tcPr>
            <w:tcW w:w="0" w:type="auto"/>
            <w:gridSpan w:val="2"/>
            <w:vMerge/>
            <w:tcBorders>
              <w:top w:val="nil"/>
              <w:left w:val="nil"/>
              <w:bottom w:val="nil"/>
              <w:right w:val="nil"/>
            </w:tcBorders>
            <w:shd w:val="clear" w:color="auto" w:fill="FFFFFF"/>
            <w:tcMar>
              <w:top w:w="0" w:type="dxa"/>
              <w:left w:w="0" w:type="dxa"/>
              <w:bottom w:w="0" w:type="dxa"/>
              <w:right w:w="0" w:type="dxa"/>
            </w:tcMar>
            <w:vAlign w:val="center"/>
            <w:hideMark/>
          </w:tcPr>
          <w:p w:rsidR="00531C9F" w:rsidRPr="00531C9F" w:rsidRDefault="00531C9F" w:rsidP="00531C9F">
            <w:pPr>
              <w:spacing w:after="0" w:line="240" w:lineRule="auto"/>
              <w:rPr>
                <w:rFonts w:ascii="inherit" w:eastAsia="Times New Roman" w:hAnsi="inherit" w:cs="Times New Roman"/>
                <w:b/>
                <w:bCs/>
                <w:sz w:val="19"/>
                <w:szCs w:val="19"/>
              </w:rPr>
            </w:pP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r w:rsidRPr="00531C9F">
              <w:rPr>
                <w:rFonts w:ascii="inherit" w:eastAsia="Times New Roman" w:hAnsi="inherit" w:cs="Times New Roman"/>
                <w:sz w:val="19"/>
                <w:szCs w:val="19"/>
              </w:rPr>
              <w:t>Промет по стопи од 10%</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r w:rsidRPr="00531C9F">
              <w:rPr>
                <w:rFonts w:ascii="inherit" w:eastAsia="Times New Roman" w:hAnsi="inherit" w:cs="Times New Roman"/>
                <w:sz w:val="19"/>
                <w:szCs w:val="19"/>
              </w:rPr>
              <w:t>Основица</w:t>
            </w:r>
          </w:p>
        </w:tc>
        <w:tc>
          <w:tcPr>
            <w:tcW w:w="0" w:type="auto"/>
            <w:gridSpan w:val="4"/>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r w:rsidRPr="00531C9F">
              <w:rPr>
                <w:rFonts w:ascii="inherit" w:eastAsia="Times New Roman" w:hAnsi="inherit" w:cs="Times New Roman"/>
                <w:sz w:val="19"/>
                <w:szCs w:val="19"/>
              </w:rPr>
              <w:t>Обрачунати ПДВ</w:t>
            </w:r>
          </w:p>
        </w:tc>
      </w:tr>
      <w:tr w:rsidR="00531C9F" w:rsidRPr="00531C9F" w:rsidTr="00531C9F">
        <w:trPr>
          <w:tblCellSpacing w:w="15" w:type="dxa"/>
        </w:trPr>
        <w:tc>
          <w:tcPr>
            <w:tcW w:w="0" w:type="auto"/>
            <w:gridSpan w:val="2"/>
            <w:tcBorders>
              <w:top w:val="nil"/>
              <w:left w:val="nil"/>
              <w:bottom w:val="nil"/>
              <w:right w:val="nil"/>
            </w:tcBorders>
            <w:shd w:val="clear" w:color="auto" w:fill="676767"/>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p>
        </w:tc>
        <w:tc>
          <w:tcPr>
            <w:tcW w:w="0" w:type="auto"/>
            <w:tcBorders>
              <w:top w:val="nil"/>
              <w:left w:val="nil"/>
              <w:bottom w:val="nil"/>
              <w:right w:val="nil"/>
            </w:tcBorders>
            <w:shd w:val="clear" w:color="auto" w:fill="676767"/>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p>
        </w:tc>
        <w:tc>
          <w:tcPr>
            <w:tcW w:w="0" w:type="auto"/>
            <w:gridSpan w:val="2"/>
            <w:tcBorders>
              <w:top w:val="nil"/>
              <w:left w:val="nil"/>
              <w:bottom w:val="nil"/>
              <w:right w:val="nil"/>
            </w:tcBorders>
            <w:shd w:val="clear" w:color="auto" w:fill="676767"/>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p>
        </w:tc>
        <w:tc>
          <w:tcPr>
            <w:tcW w:w="0" w:type="auto"/>
            <w:gridSpan w:val="2"/>
            <w:tcBorders>
              <w:top w:val="nil"/>
              <w:left w:val="nil"/>
              <w:bottom w:val="nil"/>
              <w:right w:val="nil"/>
            </w:tcBorders>
            <w:shd w:val="clear" w:color="auto" w:fill="676767"/>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p>
        </w:tc>
        <w:tc>
          <w:tcPr>
            <w:tcW w:w="0" w:type="auto"/>
            <w:gridSpan w:val="2"/>
            <w:tcBorders>
              <w:top w:val="nil"/>
              <w:left w:val="nil"/>
              <w:bottom w:val="nil"/>
              <w:right w:val="nil"/>
            </w:tcBorders>
            <w:shd w:val="clear" w:color="auto" w:fill="676767"/>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p>
        </w:tc>
      </w:tr>
      <w:tr w:rsidR="00531C9F" w:rsidRPr="00531C9F" w:rsidTr="00531C9F">
        <w:trPr>
          <w:tblCellSpacing w:w="15" w:type="dxa"/>
        </w:trPr>
        <w:tc>
          <w:tcPr>
            <w:tcW w:w="0" w:type="auto"/>
            <w:gridSpan w:val="2"/>
            <w:vMerge w:val="restart"/>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b/>
                <w:bCs/>
                <w:sz w:val="19"/>
                <w:szCs w:val="19"/>
              </w:rPr>
            </w:pPr>
            <w:r w:rsidRPr="00531C9F">
              <w:rPr>
                <w:rFonts w:ascii="inherit" w:eastAsia="Times New Roman" w:hAnsi="inherit" w:cs="Times New Roman"/>
                <w:b/>
                <w:bCs/>
                <w:sz w:val="19"/>
                <w:szCs w:val="19"/>
              </w:rPr>
              <w:t>Посебни поступци опорезивања</w:t>
            </w:r>
          </w:p>
        </w:tc>
        <w:tc>
          <w:tcPr>
            <w:tcW w:w="0" w:type="auto"/>
            <w:gridSpan w:val="3"/>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b/>
                <w:bCs/>
                <w:sz w:val="19"/>
                <w:szCs w:val="19"/>
              </w:rPr>
            </w:pPr>
            <w:r w:rsidRPr="00531C9F">
              <w:rPr>
                <w:rFonts w:ascii="inherit" w:eastAsia="Times New Roman" w:hAnsi="inherit" w:cs="Times New Roman"/>
                <w:b/>
                <w:bCs/>
                <w:sz w:val="19"/>
                <w:szCs w:val="19"/>
              </w:rPr>
              <w:t>Туристичке услуге</w:t>
            </w:r>
          </w:p>
        </w:tc>
        <w:tc>
          <w:tcPr>
            <w:tcW w:w="0" w:type="auto"/>
            <w:gridSpan w:val="4"/>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b/>
                <w:bCs/>
                <w:sz w:val="19"/>
                <w:szCs w:val="19"/>
              </w:rPr>
            </w:pPr>
            <w:r w:rsidRPr="00531C9F">
              <w:rPr>
                <w:rFonts w:ascii="inherit" w:eastAsia="Times New Roman" w:hAnsi="inherit" w:cs="Times New Roman"/>
                <w:b/>
                <w:bCs/>
                <w:sz w:val="19"/>
                <w:szCs w:val="19"/>
              </w:rPr>
              <w:t>Половна добра, уметничка дела, колекционарска добра и антиквитети</w:t>
            </w:r>
          </w:p>
        </w:tc>
      </w:tr>
      <w:tr w:rsidR="00531C9F" w:rsidRPr="00531C9F" w:rsidTr="00531C9F">
        <w:trPr>
          <w:tblCellSpacing w:w="15" w:type="dxa"/>
        </w:trPr>
        <w:tc>
          <w:tcPr>
            <w:tcW w:w="0" w:type="auto"/>
            <w:gridSpan w:val="2"/>
            <w:vMerge/>
            <w:tcBorders>
              <w:top w:val="nil"/>
              <w:left w:val="nil"/>
              <w:bottom w:val="nil"/>
              <w:right w:val="nil"/>
            </w:tcBorders>
            <w:shd w:val="clear" w:color="auto" w:fill="FFFFFF"/>
            <w:tcMar>
              <w:top w:w="0" w:type="dxa"/>
              <w:left w:w="0" w:type="dxa"/>
              <w:bottom w:w="0" w:type="dxa"/>
              <w:right w:w="0" w:type="dxa"/>
            </w:tcMar>
            <w:vAlign w:val="center"/>
            <w:hideMark/>
          </w:tcPr>
          <w:p w:rsidR="00531C9F" w:rsidRPr="00531C9F" w:rsidRDefault="00531C9F" w:rsidP="00531C9F">
            <w:pPr>
              <w:spacing w:after="0" w:line="240" w:lineRule="auto"/>
              <w:rPr>
                <w:rFonts w:ascii="inherit" w:eastAsia="Times New Roman" w:hAnsi="inherit" w:cs="Times New Roman"/>
                <w:b/>
                <w:bCs/>
                <w:sz w:val="19"/>
                <w:szCs w:val="19"/>
              </w:rPr>
            </w:pPr>
          </w:p>
        </w:tc>
        <w:tc>
          <w:tcPr>
            <w:tcW w:w="0" w:type="auto"/>
            <w:vMerge w:val="restart"/>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r w:rsidRPr="00531C9F">
              <w:rPr>
                <w:rFonts w:ascii="inherit" w:eastAsia="Times New Roman" w:hAnsi="inherit" w:cs="Times New Roman"/>
                <w:sz w:val="19"/>
                <w:szCs w:val="19"/>
              </w:rPr>
              <w:t>Основица за промет по стопи од 20%</w:t>
            </w:r>
          </w:p>
        </w:tc>
        <w:tc>
          <w:tcPr>
            <w:tcW w:w="0" w:type="auto"/>
            <w:gridSpan w:val="2"/>
            <w:vMerge w:val="restart"/>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r w:rsidRPr="00531C9F">
              <w:rPr>
                <w:rFonts w:ascii="inherit" w:eastAsia="Times New Roman" w:hAnsi="inherit" w:cs="Times New Roman"/>
                <w:sz w:val="19"/>
                <w:szCs w:val="19"/>
              </w:rPr>
              <w:t>Основица - аванс по стопи од 20%</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r w:rsidRPr="00531C9F">
              <w:rPr>
                <w:rFonts w:ascii="inherit" w:eastAsia="Times New Roman" w:hAnsi="inherit" w:cs="Times New Roman"/>
                <w:sz w:val="19"/>
                <w:szCs w:val="19"/>
              </w:rPr>
              <w:t>Основица за промет по стопи од 20%</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r w:rsidRPr="00531C9F">
              <w:rPr>
                <w:rFonts w:ascii="inherit" w:eastAsia="Times New Roman" w:hAnsi="inherit" w:cs="Times New Roman"/>
                <w:sz w:val="19"/>
                <w:szCs w:val="19"/>
              </w:rPr>
              <w:t>Основица - аванс по стопи од 20%</w:t>
            </w:r>
          </w:p>
        </w:tc>
      </w:tr>
      <w:tr w:rsidR="00531C9F" w:rsidRPr="00531C9F" w:rsidTr="00531C9F">
        <w:trPr>
          <w:tblCellSpacing w:w="15" w:type="dxa"/>
        </w:trPr>
        <w:tc>
          <w:tcPr>
            <w:tcW w:w="0" w:type="auto"/>
            <w:gridSpan w:val="2"/>
            <w:vMerge/>
            <w:tcBorders>
              <w:top w:val="nil"/>
              <w:left w:val="nil"/>
              <w:bottom w:val="nil"/>
              <w:right w:val="nil"/>
            </w:tcBorders>
            <w:shd w:val="clear" w:color="auto" w:fill="FFFFFF"/>
            <w:tcMar>
              <w:top w:w="0" w:type="dxa"/>
              <w:left w:w="0" w:type="dxa"/>
              <w:bottom w:w="0" w:type="dxa"/>
              <w:right w:w="0" w:type="dxa"/>
            </w:tcMar>
            <w:vAlign w:val="center"/>
            <w:hideMark/>
          </w:tcPr>
          <w:p w:rsidR="00531C9F" w:rsidRPr="00531C9F" w:rsidRDefault="00531C9F" w:rsidP="00531C9F">
            <w:pPr>
              <w:spacing w:after="0" w:line="240" w:lineRule="auto"/>
              <w:rPr>
                <w:rFonts w:ascii="inherit" w:eastAsia="Times New Roman" w:hAnsi="inherit" w:cs="Times New Roman"/>
                <w:b/>
                <w:bCs/>
                <w:sz w:val="19"/>
                <w:szCs w:val="19"/>
              </w:rPr>
            </w:pPr>
          </w:p>
        </w:tc>
        <w:tc>
          <w:tcPr>
            <w:tcW w:w="0" w:type="auto"/>
            <w:vMerge/>
            <w:tcBorders>
              <w:top w:val="nil"/>
              <w:left w:val="nil"/>
              <w:bottom w:val="nil"/>
              <w:right w:val="nil"/>
            </w:tcBorders>
            <w:shd w:val="clear" w:color="auto" w:fill="FFFFFF"/>
            <w:tcMar>
              <w:top w:w="0" w:type="dxa"/>
              <w:left w:w="0" w:type="dxa"/>
              <w:bottom w:w="0" w:type="dxa"/>
              <w:right w:w="0" w:type="dxa"/>
            </w:tcMar>
            <w:vAlign w:val="center"/>
            <w:hideMark/>
          </w:tcPr>
          <w:p w:rsidR="00531C9F" w:rsidRPr="00531C9F" w:rsidRDefault="00531C9F" w:rsidP="00531C9F">
            <w:pPr>
              <w:spacing w:after="0" w:line="240" w:lineRule="auto"/>
              <w:rPr>
                <w:rFonts w:ascii="inherit" w:eastAsia="Times New Roman" w:hAnsi="inherit" w:cs="Times New Roman"/>
                <w:sz w:val="19"/>
                <w:szCs w:val="19"/>
              </w:rPr>
            </w:pPr>
          </w:p>
        </w:tc>
        <w:tc>
          <w:tcPr>
            <w:tcW w:w="0" w:type="auto"/>
            <w:gridSpan w:val="2"/>
            <w:vMerge/>
            <w:tcBorders>
              <w:top w:val="nil"/>
              <w:left w:val="nil"/>
              <w:bottom w:val="nil"/>
              <w:right w:val="nil"/>
            </w:tcBorders>
            <w:shd w:val="clear" w:color="auto" w:fill="FFFFFF"/>
            <w:tcMar>
              <w:top w:w="0" w:type="dxa"/>
              <w:left w:w="0" w:type="dxa"/>
              <w:bottom w:w="0" w:type="dxa"/>
              <w:right w:w="0" w:type="dxa"/>
            </w:tcMar>
            <w:vAlign w:val="center"/>
            <w:hideMark/>
          </w:tcPr>
          <w:p w:rsidR="00531C9F" w:rsidRPr="00531C9F" w:rsidRDefault="00531C9F" w:rsidP="00531C9F">
            <w:pPr>
              <w:spacing w:after="0" w:line="240" w:lineRule="auto"/>
              <w:rPr>
                <w:rFonts w:ascii="inherit" w:eastAsia="Times New Roman" w:hAnsi="inherit" w:cs="Times New Roman"/>
                <w:sz w:val="19"/>
                <w:szCs w:val="19"/>
              </w:rPr>
            </w:pP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r w:rsidRPr="00531C9F">
              <w:rPr>
                <w:rFonts w:ascii="inherit" w:eastAsia="Times New Roman" w:hAnsi="inherit" w:cs="Times New Roman"/>
                <w:sz w:val="19"/>
                <w:szCs w:val="19"/>
              </w:rPr>
              <w:t>Обрачунати ПДВ за промет по стопи од 20%</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r w:rsidRPr="00531C9F">
              <w:rPr>
                <w:rFonts w:ascii="inherit" w:eastAsia="Times New Roman" w:hAnsi="inherit" w:cs="Times New Roman"/>
                <w:sz w:val="19"/>
                <w:szCs w:val="19"/>
              </w:rPr>
              <w:t>Обрачунати ПДВ - аванс по стопи од 20%</w:t>
            </w:r>
          </w:p>
        </w:tc>
      </w:tr>
      <w:tr w:rsidR="00531C9F" w:rsidRPr="00531C9F" w:rsidTr="00531C9F">
        <w:trPr>
          <w:tblCellSpacing w:w="15" w:type="dxa"/>
        </w:trPr>
        <w:tc>
          <w:tcPr>
            <w:tcW w:w="0" w:type="auto"/>
            <w:gridSpan w:val="2"/>
            <w:vMerge/>
            <w:tcBorders>
              <w:top w:val="nil"/>
              <w:left w:val="nil"/>
              <w:bottom w:val="nil"/>
              <w:right w:val="nil"/>
            </w:tcBorders>
            <w:shd w:val="clear" w:color="auto" w:fill="FFFFFF"/>
            <w:tcMar>
              <w:top w:w="0" w:type="dxa"/>
              <w:left w:w="0" w:type="dxa"/>
              <w:bottom w:w="0" w:type="dxa"/>
              <w:right w:w="0" w:type="dxa"/>
            </w:tcMar>
            <w:vAlign w:val="center"/>
            <w:hideMark/>
          </w:tcPr>
          <w:p w:rsidR="00531C9F" w:rsidRPr="00531C9F" w:rsidRDefault="00531C9F" w:rsidP="00531C9F">
            <w:pPr>
              <w:spacing w:after="0" w:line="240" w:lineRule="auto"/>
              <w:rPr>
                <w:rFonts w:ascii="inherit" w:eastAsia="Times New Roman" w:hAnsi="inherit" w:cs="Times New Roman"/>
                <w:b/>
                <w:bCs/>
                <w:sz w:val="19"/>
                <w:szCs w:val="19"/>
              </w:rPr>
            </w:pPr>
          </w:p>
        </w:tc>
        <w:tc>
          <w:tcPr>
            <w:tcW w:w="0" w:type="auto"/>
            <w:vMerge w:val="restart"/>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r w:rsidRPr="00531C9F">
              <w:rPr>
                <w:rFonts w:ascii="inherit" w:eastAsia="Times New Roman" w:hAnsi="inherit" w:cs="Times New Roman"/>
                <w:sz w:val="19"/>
                <w:szCs w:val="19"/>
              </w:rPr>
              <w:t>Обрачунати ПДВ за промет по стопи од 20%</w:t>
            </w:r>
          </w:p>
        </w:tc>
        <w:tc>
          <w:tcPr>
            <w:tcW w:w="0" w:type="auto"/>
            <w:gridSpan w:val="2"/>
            <w:vMerge w:val="restart"/>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r w:rsidRPr="00531C9F">
              <w:rPr>
                <w:rFonts w:ascii="inherit" w:eastAsia="Times New Roman" w:hAnsi="inherit" w:cs="Times New Roman"/>
                <w:sz w:val="19"/>
                <w:szCs w:val="19"/>
              </w:rPr>
              <w:t>Обрачунати ПДВ - аванс по стопи од 20%</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r w:rsidRPr="00531C9F">
              <w:rPr>
                <w:rFonts w:ascii="inherit" w:eastAsia="Times New Roman" w:hAnsi="inherit" w:cs="Times New Roman"/>
                <w:sz w:val="19"/>
                <w:szCs w:val="19"/>
              </w:rPr>
              <w:t>Основица за промет по стопи од 10%</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r w:rsidRPr="00531C9F">
              <w:rPr>
                <w:rFonts w:ascii="inherit" w:eastAsia="Times New Roman" w:hAnsi="inherit" w:cs="Times New Roman"/>
                <w:sz w:val="19"/>
                <w:szCs w:val="19"/>
              </w:rPr>
              <w:t>Основица - аванс по стопи од 10%</w:t>
            </w:r>
          </w:p>
        </w:tc>
      </w:tr>
      <w:tr w:rsidR="00531C9F" w:rsidRPr="00531C9F" w:rsidTr="00531C9F">
        <w:trPr>
          <w:tblCellSpacing w:w="15" w:type="dxa"/>
        </w:trPr>
        <w:tc>
          <w:tcPr>
            <w:tcW w:w="0" w:type="auto"/>
            <w:gridSpan w:val="2"/>
            <w:vMerge/>
            <w:tcBorders>
              <w:top w:val="nil"/>
              <w:left w:val="nil"/>
              <w:bottom w:val="nil"/>
              <w:right w:val="nil"/>
            </w:tcBorders>
            <w:shd w:val="clear" w:color="auto" w:fill="FFFFFF"/>
            <w:tcMar>
              <w:top w:w="0" w:type="dxa"/>
              <w:left w:w="0" w:type="dxa"/>
              <w:bottom w:w="0" w:type="dxa"/>
              <w:right w:w="0" w:type="dxa"/>
            </w:tcMar>
            <w:vAlign w:val="center"/>
            <w:hideMark/>
          </w:tcPr>
          <w:p w:rsidR="00531C9F" w:rsidRPr="00531C9F" w:rsidRDefault="00531C9F" w:rsidP="00531C9F">
            <w:pPr>
              <w:spacing w:after="0" w:line="240" w:lineRule="auto"/>
              <w:rPr>
                <w:rFonts w:ascii="inherit" w:eastAsia="Times New Roman" w:hAnsi="inherit" w:cs="Times New Roman"/>
                <w:b/>
                <w:bCs/>
                <w:sz w:val="19"/>
                <w:szCs w:val="19"/>
              </w:rPr>
            </w:pPr>
          </w:p>
        </w:tc>
        <w:tc>
          <w:tcPr>
            <w:tcW w:w="0" w:type="auto"/>
            <w:vMerge/>
            <w:tcBorders>
              <w:top w:val="nil"/>
              <w:left w:val="nil"/>
              <w:bottom w:val="nil"/>
              <w:right w:val="nil"/>
            </w:tcBorders>
            <w:shd w:val="clear" w:color="auto" w:fill="FFFFFF"/>
            <w:tcMar>
              <w:top w:w="0" w:type="dxa"/>
              <w:left w:w="0" w:type="dxa"/>
              <w:bottom w:w="0" w:type="dxa"/>
              <w:right w:w="0" w:type="dxa"/>
            </w:tcMar>
            <w:vAlign w:val="center"/>
            <w:hideMark/>
          </w:tcPr>
          <w:p w:rsidR="00531C9F" w:rsidRPr="00531C9F" w:rsidRDefault="00531C9F" w:rsidP="00531C9F">
            <w:pPr>
              <w:spacing w:after="0" w:line="240" w:lineRule="auto"/>
              <w:rPr>
                <w:rFonts w:ascii="inherit" w:eastAsia="Times New Roman" w:hAnsi="inherit" w:cs="Times New Roman"/>
                <w:sz w:val="19"/>
                <w:szCs w:val="19"/>
              </w:rPr>
            </w:pPr>
          </w:p>
        </w:tc>
        <w:tc>
          <w:tcPr>
            <w:tcW w:w="0" w:type="auto"/>
            <w:gridSpan w:val="2"/>
            <w:vMerge/>
            <w:tcBorders>
              <w:top w:val="nil"/>
              <w:left w:val="nil"/>
              <w:bottom w:val="nil"/>
              <w:right w:val="nil"/>
            </w:tcBorders>
            <w:shd w:val="clear" w:color="auto" w:fill="FFFFFF"/>
            <w:tcMar>
              <w:top w:w="0" w:type="dxa"/>
              <w:left w:w="0" w:type="dxa"/>
              <w:bottom w:w="0" w:type="dxa"/>
              <w:right w:w="0" w:type="dxa"/>
            </w:tcMar>
            <w:vAlign w:val="center"/>
            <w:hideMark/>
          </w:tcPr>
          <w:p w:rsidR="00531C9F" w:rsidRPr="00531C9F" w:rsidRDefault="00531C9F" w:rsidP="00531C9F">
            <w:pPr>
              <w:spacing w:after="0" w:line="240" w:lineRule="auto"/>
              <w:rPr>
                <w:rFonts w:ascii="inherit" w:eastAsia="Times New Roman" w:hAnsi="inherit" w:cs="Times New Roman"/>
                <w:sz w:val="19"/>
                <w:szCs w:val="19"/>
              </w:rPr>
            </w:pP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r w:rsidRPr="00531C9F">
              <w:rPr>
                <w:rFonts w:ascii="inherit" w:eastAsia="Times New Roman" w:hAnsi="inherit" w:cs="Times New Roman"/>
                <w:sz w:val="19"/>
                <w:szCs w:val="19"/>
              </w:rPr>
              <w:t>Обрачунати ПДВ за промет по стопи од 10%</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r w:rsidRPr="00531C9F">
              <w:rPr>
                <w:rFonts w:ascii="inherit" w:eastAsia="Times New Roman" w:hAnsi="inherit" w:cs="Times New Roman"/>
                <w:sz w:val="19"/>
                <w:szCs w:val="19"/>
              </w:rPr>
              <w:t>Обрачунати ПДВ - аванс по стопи од 10%</w:t>
            </w:r>
          </w:p>
        </w:tc>
      </w:tr>
      <w:tr w:rsidR="00531C9F" w:rsidRPr="00531C9F" w:rsidTr="00531C9F">
        <w:trPr>
          <w:tblCellSpacing w:w="15" w:type="dxa"/>
        </w:trPr>
        <w:tc>
          <w:tcPr>
            <w:tcW w:w="0" w:type="auto"/>
            <w:gridSpan w:val="2"/>
            <w:tcBorders>
              <w:top w:val="nil"/>
              <w:left w:val="nil"/>
              <w:bottom w:val="nil"/>
              <w:right w:val="nil"/>
            </w:tcBorders>
            <w:shd w:val="clear" w:color="auto" w:fill="676767"/>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p>
        </w:tc>
        <w:tc>
          <w:tcPr>
            <w:tcW w:w="0" w:type="auto"/>
            <w:tcBorders>
              <w:top w:val="nil"/>
              <w:left w:val="nil"/>
              <w:bottom w:val="nil"/>
              <w:right w:val="nil"/>
            </w:tcBorders>
            <w:shd w:val="clear" w:color="auto" w:fill="676767"/>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p>
        </w:tc>
        <w:tc>
          <w:tcPr>
            <w:tcW w:w="0" w:type="auto"/>
            <w:gridSpan w:val="2"/>
            <w:tcBorders>
              <w:top w:val="nil"/>
              <w:left w:val="nil"/>
              <w:bottom w:val="nil"/>
              <w:right w:val="nil"/>
            </w:tcBorders>
            <w:shd w:val="clear" w:color="auto" w:fill="676767"/>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p>
        </w:tc>
        <w:tc>
          <w:tcPr>
            <w:tcW w:w="0" w:type="auto"/>
            <w:gridSpan w:val="2"/>
            <w:tcBorders>
              <w:top w:val="nil"/>
              <w:left w:val="nil"/>
              <w:bottom w:val="nil"/>
              <w:right w:val="nil"/>
            </w:tcBorders>
            <w:shd w:val="clear" w:color="auto" w:fill="676767"/>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p>
        </w:tc>
        <w:tc>
          <w:tcPr>
            <w:tcW w:w="0" w:type="auto"/>
            <w:gridSpan w:val="2"/>
            <w:tcBorders>
              <w:top w:val="nil"/>
              <w:left w:val="nil"/>
              <w:bottom w:val="nil"/>
              <w:right w:val="nil"/>
            </w:tcBorders>
            <w:shd w:val="clear" w:color="auto" w:fill="676767"/>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p>
        </w:tc>
      </w:tr>
      <w:tr w:rsidR="00531C9F" w:rsidRPr="00531C9F" w:rsidTr="00531C9F">
        <w:trPr>
          <w:tblCellSpacing w:w="15" w:type="dxa"/>
        </w:trPr>
        <w:tc>
          <w:tcPr>
            <w:tcW w:w="0" w:type="auto"/>
            <w:gridSpan w:val="2"/>
            <w:vMerge w:val="restart"/>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b/>
                <w:bCs/>
                <w:sz w:val="19"/>
                <w:szCs w:val="19"/>
              </w:rPr>
            </w:pPr>
            <w:r w:rsidRPr="00531C9F">
              <w:rPr>
                <w:rFonts w:ascii="inherit" w:eastAsia="Times New Roman" w:hAnsi="inherit" w:cs="Times New Roman"/>
                <w:b/>
                <w:bCs/>
                <w:sz w:val="19"/>
                <w:szCs w:val="19"/>
              </w:rPr>
              <w:lastRenderedPageBreak/>
              <w:t>Повећање / смањење основице, односно ПДВ - порески дужник испоручилац</w:t>
            </w:r>
          </w:p>
        </w:tc>
        <w:tc>
          <w:tcPr>
            <w:tcW w:w="0" w:type="auto"/>
            <w:gridSpan w:val="7"/>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b/>
                <w:bCs/>
                <w:sz w:val="19"/>
                <w:szCs w:val="19"/>
              </w:rPr>
            </w:pPr>
            <w:r w:rsidRPr="00531C9F">
              <w:rPr>
                <w:rFonts w:ascii="inherit" w:eastAsia="Times New Roman" w:hAnsi="inherit" w:cs="Times New Roman"/>
                <w:b/>
                <w:bCs/>
                <w:sz w:val="19"/>
                <w:szCs w:val="19"/>
              </w:rPr>
              <w:t>Повећање основице, односно ПДВ</w:t>
            </w:r>
          </w:p>
        </w:tc>
      </w:tr>
      <w:tr w:rsidR="00531C9F" w:rsidRPr="00531C9F" w:rsidTr="00531C9F">
        <w:trPr>
          <w:tblCellSpacing w:w="15" w:type="dxa"/>
        </w:trPr>
        <w:tc>
          <w:tcPr>
            <w:tcW w:w="0" w:type="auto"/>
            <w:gridSpan w:val="2"/>
            <w:vMerge/>
            <w:tcBorders>
              <w:top w:val="nil"/>
              <w:left w:val="nil"/>
              <w:bottom w:val="nil"/>
              <w:right w:val="nil"/>
            </w:tcBorders>
            <w:shd w:val="clear" w:color="auto" w:fill="FFFFFF"/>
            <w:tcMar>
              <w:top w:w="0" w:type="dxa"/>
              <w:left w:w="0" w:type="dxa"/>
              <w:bottom w:w="0" w:type="dxa"/>
              <w:right w:w="0" w:type="dxa"/>
            </w:tcMar>
            <w:vAlign w:val="center"/>
            <w:hideMark/>
          </w:tcPr>
          <w:p w:rsidR="00531C9F" w:rsidRPr="00531C9F" w:rsidRDefault="00531C9F" w:rsidP="00531C9F">
            <w:pPr>
              <w:spacing w:after="0" w:line="240" w:lineRule="auto"/>
              <w:rPr>
                <w:rFonts w:ascii="inherit" w:eastAsia="Times New Roman" w:hAnsi="inherit" w:cs="Times New Roman"/>
                <w:b/>
                <w:bCs/>
                <w:sz w:val="19"/>
                <w:szCs w:val="19"/>
              </w:rPr>
            </w:pP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r w:rsidRPr="00531C9F">
              <w:rPr>
                <w:rFonts w:ascii="inherit" w:eastAsia="Times New Roman" w:hAnsi="inherit" w:cs="Times New Roman"/>
                <w:sz w:val="19"/>
                <w:szCs w:val="19"/>
              </w:rPr>
              <w:t>Повећање основице за промет по стопи од 20%</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r w:rsidRPr="00531C9F">
              <w:rPr>
                <w:rFonts w:ascii="inherit" w:eastAsia="Times New Roman" w:hAnsi="inherit" w:cs="Times New Roman"/>
                <w:sz w:val="19"/>
                <w:szCs w:val="19"/>
              </w:rPr>
              <w:t>Повећање ПДВ за промет по стопи од 20%</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r w:rsidRPr="00531C9F">
              <w:rPr>
                <w:rFonts w:ascii="inherit" w:eastAsia="Times New Roman" w:hAnsi="inherit" w:cs="Times New Roman"/>
                <w:sz w:val="19"/>
                <w:szCs w:val="19"/>
              </w:rPr>
              <w:t>Повећање основице за промет по стопи од 10%</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r w:rsidRPr="00531C9F">
              <w:rPr>
                <w:rFonts w:ascii="inherit" w:eastAsia="Times New Roman" w:hAnsi="inherit" w:cs="Times New Roman"/>
                <w:sz w:val="19"/>
                <w:szCs w:val="19"/>
              </w:rPr>
              <w:t>Повећање ПДВ за промет по стопи од 10%</w:t>
            </w:r>
          </w:p>
        </w:tc>
      </w:tr>
      <w:tr w:rsidR="00531C9F" w:rsidRPr="00531C9F" w:rsidTr="00531C9F">
        <w:trPr>
          <w:tblCellSpacing w:w="15" w:type="dxa"/>
        </w:trPr>
        <w:tc>
          <w:tcPr>
            <w:tcW w:w="0" w:type="auto"/>
            <w:gridSpan w:val="2"/>
            <w:vMerge/>
            <w:tcBorders>
              <w:top w:val="nil"/>
              <w:left w:val="nil"/>
              <w:bottom w:val="nil"/>
              <w:right w:val="nil"/>
            </w:tcBorders>
            <w:shd w:val="clear" w:color="auto" w:fill="FFFFFF"/>
            <w:tcMar>
              <w:top w:w="0" w:type="dxa"/>
              <w:left w:w="0" w:type="dxa"/>
              <w:bottom w:w="0" w:type="dxa"/>
              <w:right w:w="0" w:type="dxa"/>
            </w:tcMar>
            <w:vAlign w:val="center"/>
            <w:hideMark/>
          </w:tcPr>
          <w:p w:rsidR="00531C9F" w:rsidRPr="00531C9F" w:rsidRDefault="00531C9F" w:rsidP="00531C9F">
            <w:pPr>
              <w:spacing w:after="0" w:line="240" w:lineRule="auto"/>
              <w:rPr>
                <w:rFonts w:ascii="inherit" w:eastAsia="Times New Roman" w:hAnsi="inherit" w:cs="Times New Roman"/>
                <w:b/>
                <w:bCs/>
                <w:sz w:val="19"/>
                <w:szCs w:val="19"/>
              </w:rPr>
            </w:pPr>
          </w:p>
        </w:tc>
        <w:tc>
          <w:tcPr>
            <w:tcW w:w="0" w:type="auto"/>
            <w:gridSpan w:val="7"/>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b/>
                <w:bCs/>
                <w:sz w:val="19"/>
                <w:szCs w:val="19"/>
              </w:rPr>
            </w:pPr>
            <w:r w:rsidRPr="00531C9F">
              <w:rPr>
                <w:rFonts w:ascii="inherit" w:eastAsia="Times New Roman" w:hAnsi="inherit" w:cs="Times New Roman"/>
                <w:b/>
                <w:bCs/>
                <w:sz w:val="19"/>
                <w:szCs w:val="19"/>
              </w:rPr>
              <w:t>Смањење основице, односно ПДВ</w:t>
            </w:r>
          </w:p>
        </w:tc>
      </w:tr>
      <w:tr w:rsidR="00531C9F" w:rsidRPr="00531C9F" w:rsidTr="00531C9F">
        <w:trPr>
          <w:tblCellSpacing w:w="15" w:type="dxa"/>
        </w:trPr>
        <w:tc>
          <w:tcPr>
            <w:tcW w:w="0" w:type="auto"/>
            <w:gridSpan w:val="2"/>
            <w:vMerge/>
            <w:tcBorders>
              <w:top w:val="nil"/>
              <w:left w:val="nil"/>
              <w:bottom w:val="nil"/>
              <w:right w:val="nil"/>
            </w:tcBorders>
            <w:shd w:val="clear" w:color="auto" w:fill="FFFFFF"/>
            <w:tcMar>
              <w:top w:w="0" w:type="dxa"/>
              <w:left w:w="0" w:type="dxa"/>
              <w:bottom w:w="0" w:type="dxa"/>
              <w:right w:w="0" w:type="dxa"/>
            </w:tcMar>
            <w:vAlign w:val="center"/>
            <w:hideMark/>
          </w:tcPr>
          <w:p w:rsidR="00531C9F" w:rsidRPr="00531C9F" w:rsidRDefault="00531C9F" w:rsidP="00531C9F">
            <w:pPr>
              <w:spacing w:after="0" w:line="240" w:lineRule="auto"/>
              <w:rPr>
                <w:rFonts w:ascii="inherit" w:eastAsia="Times New Roman" w:hAnsi="inherit" w:cs="Times New Roman"/>
                <w:b/>
                <w:bCs/>
                <w:sz w:val="19"/>
                <w:szCs w:val="19"/>
              </w:rPr>
            </w:pP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r w:rsidRPr="00531C9F">
              <w:rPr>
                <w:rFonts w:ascii="inherit" w:eastAsia="Times New Roman" w:hAnsi="inherit" w:cs="Times New Roman"/>
                <w:sz w:val="19"/>
                <w:szCs w:val="19"/>
              </w:rPr>
              <w:t>Смањење основице за промет по стопи од 20%</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r w:rsidRPr="00531C9F">
              <w:rPr>
                <w:rFonts w:ascii="inherit" w:eastAsia="Times New Roman" w:hAnsi="inherit" w:cs="Times New Roman"/>
                <w:sz w:val="19"/>
                <w:szCs w:val="19"/>
              </w:rPr>
              <w:t>Смањење основице за промет по стопи од 10%</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r w:rsidRPr="00531C9F">
              <w:rPr>
                <w:rFonts w:ascii="inherit" w:eastAsia="Times New Roman" w:hAnsi="inherit" w:cs="Times New Roman"/>
                <w:sz w:val="19"/>
                <w:szCs w:val="19"/>
              </w:rPr>
              <w:t>Смањење основице - аванс по стопи од 20%</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r w:rsidRPr="00531C9F">
              <w:rPr>
                <w:rFonts w:ascii="inherit" w:eastAsia="Times New Roman" w:hAnsi="inherit" w:cs="Times New Roman"/>
                <w:sz w:val="19"/>
                <w:szCs w:val="19"/>
              </w:rPr>
              <w:t>Смањење основице - аванс по стопи од 10%</w:t>
            </w:r>
          </w:p>
        </w:tc>
      </w:tr>
      <w:tr w:rsidR="00531C9F" w:rsidRPr="00531C9F" w:rsidTr="00531C9F">
        <w:trPr>
          <w:tblCellSpacing w:w="15" w:type="dxa"/>
        </w:trPr>
        <w:tc>
          <w:tcPr>
            <w:tcW w:w="0" w:type="auto"/>
            <w:gridSpan w:val="2"/>
            <w:vMerge/>
            <w:tcBorders>
              <w:top w:val="nil"/>
              <w:left w:val="nil"/>
              <w:bottom w:val="nil"/>
              <w:right w:val="nil"/>
            </w:tcBorders>
            <w:shd w:val="clear" w:color="auto" w:fill="FFFFFF"/>
            <w:tcMar>
              <w:top w:w="0" w:type="dxa"/>
              <w:left w:w="0" w:type="dxa"/>
              <w:bottom w:w="0" w:type="dxa"/>
              <w:right w:w="0" w:type="dxa"/>
            </w:tcMar>
            <w:vAlign w:val="center"/>
            <w:hideMark/>
          </w:tcPr>
          <w:p w:rsidR="00531C9F" w:rsidRPr="00531C9F" w:rsidRDefault="00531C9F" w:rsidP="00531C9F">
            <w:pPr>
              <w:spacing w:after="0" w:line="240" w:lineRule="auto"/>
              <w:rPr>
                <w:rFonts w:ascii="inherit" w:eastAsia="Times New Roman" w:hAnsi="inherit" w:cs="Times New Roman"/>
                <w:b/>
                <w:bCs/>
                <w:sz w:val="19"/>
                <w:szCs w:val="19"/>
              </w:rPr>
            </w:pP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r w:rsidRPr="00531C9F">
              <w:rPr>
                <w:rFonts w:ascii="inherit" w:eastAsia="Times New Roman" w:hAnsi="inherit" w:cs="Times New Roman"/>
                <w:sz w:val="19"/>
                <w:szCs w:val="19"/>
              </w:rPr>
              <w:t>Смањење ПДВ за промет по стопи од 20%</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r w:rsidRPr="00531C9F">
              <w:rPr>
                <w:rFonts w:ascii="inherit" w:eastAsia="Times New Roman" w:hAnsi="inherit" w:cs="Times New Roman"/>
                <w:sz w:val="19"/>
                <w:szCs w:val="19"/>
              </w:rPr>
              <w:t>Смањење ПДВ за промет по стопи од 10%</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r w:rsidRPr="00531C9F">
              <w:rPr>
                <w:rFonts w:ascii="inherit" w:eastAsia="Times New Roman" w:hAnsi="inherit" w:cs="Times New Roman"/>
                <w:sz w:val="19"/>
                <w:szCs w:val="19"/>
              </w:rPr>
              <w:t>Смањење ПДВ - аванс по стопи од 20%</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r w:rsidRPr="00531C9F">
              <w:rPr>
                <w:rFonts w:ascii="inherit" w:eastAsia="Times New Roman" w:hAnsi="inherit" w:cs="Times New Roman"/>
                <w:sz w:val="19"/>
                <w:szCs w:val="19"/>
              </w:rPr>
              <w:t>Смањење ПДВ - аванс по стопи од 10%</w:t>
            </w:r>
          </w:p>
        </w:tc>
      </w:tr>
      <w:tr w:rsidR="00531C9F" w:rsidRPr="00531C9F" w:rsidTr="00531C9F">
        <w:trPr>
          <w:tblCellSpacing w:w="15" w:type="dxa"/>
        </w:trPr>
        <w:tc>
          <w:tcPr>
            <w:tcW w:w="0" w:type="auto"/>
            <w:gridSpan w:val="2"/>
            <w:vMerge/>
            <w:tcBorders>
              <w:top w:val="nil"/>
              <w:left w:val="nil"/>
              <w:bottom w:val="nil"/>
              <w:right w:val="nil"/>
            </w:tcBorders>
            <w:shd w:val="clear" w:color="auto" w:fill="FFFFFF"/>
            <w:tcMar>
              <w:top w:w="0" w:type="dxa"/>
              <w:left w:w="0" w:type="dxa"/>
              <w:bottom w:w="0" w:type="dxa"/>
              <w:right w:w="0" w:type="dxa"/>
            </w:tcMar>
            <w:vAlign w:val="center"/>
            <w:hideMark/>
          </w:tcPr>
          <w:p w:rsidR="00531C9F" w:rsidRPr="00531C9F" w:rsidRDefault="00531C9F" w:rsidP="00531C9F">
            <w:pPr>
              <w:spacing w:after="0" w:line="240" w:lineRule="auto"/>
              <w:rPr>
                <w:rFonts w:ascii="inherit" w:eastAsia="Times New Roman" w:hAnsi="inherit" w:cs="Times New Roman"/>
                <w:b/>
                <w:bCs/>
                <w:sz w:val="19"/>
                <w:szCs w:val="19"/>
              </w:rPr>
            </w:pPr>
          </w:p>
        </w:tc>
        <w:tc>
          <w:tcPr>
            <w:tcW w:w="0" w:type="auto"/>
            <w:tcBorders>
              <w:top w:val="nil"/>
              <w:left w:val="nil"/>
              <w:bottom w:val="nil"/>
              <w:right w:val="nil"/>
            </w:tcBorders>
            <w:shd w:val="clear" w:color="auto" w:fill="676767"/>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p>
        </w:tc>
        <w:tc>
          <w:tcPr>
            <w:tcW w:w="0" w:type="auto"/>
            <w:gridSpan w:val="2"/>
            <w:tcBorders>
              <w:top w:val="nil"/>
              <w:left w:val="nil"/>
              <w:bottom w:val="nil"/>
              <w:right w:val="nil"/>
            </w:tcBorders>
            <w:shd w:val="clear" w:color="auto" w:fill="676767"/>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p>
        </w:tc>
        <w:tc>
          <w:tcPr>
            <w:tcW w:w="0" w:type="auto"/>
            <w:gridSpan w:val="2"/>
            <w:tcBorders>
              <w:top w:val="nil"/>
              <w:left w:val="nil"/>
              <w:bottom w:val="nil"/>
              <w:right w:val="nil"/>
            </w:tcBorders>
            <w:shd w:val="clear" w:color="auto" w:fill="676767"/>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p>
        </w:tc>
        <w:tc>
          <w:tcPr>
            <w:tcW w:w="0" w:type="auto"/>
            <w:gridSpan w:val="2"/>
            <w:tcBorders>
              <w:top w:val="nil"/>
              <w:left w:val="nil"/>
              <w:bottom w:val="nil"/>
              <w:right w:val="nil"/>
            </w:tcBorders>
            <w:shd w:val="clear" w:color="auto" w:fill="676767"/>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p>
        </w:tc>
      </w:tr>
      <w:tr w:rsidR="00531C9F" w:rsidRPr="00531C9F" w:rsidTr="00531C9F">
        <w:trPr>
          <w:tblCellSpacing w:w="15" w:type="dxa"/>
        </w:trPr>
        <w:tc>
          <w:tcPr>
            <w:tcW w:w="0" w:type="auto"/>
            <w:gridSpan w:val="2"/>
            <w:vMerge w:val="restart"/>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b/>
                <w:bCs/>
                <w:sz w:val="19"/>
                <w:szCs w:val="19"/>
              </w:rPr>
            </w:pPr>
            <w:r w:rsidRPr="00531C9F">
              <w:rPr>
                <w:rFonts w:ascii="inherit" w:eastAsia="Times New Roman" w:hAnsi="inherit" w:cs="Times New Roman"/>
                <w:b/>
                <w:bCs/>
                <w:sz w:val="19"/>
                <w:szCs w:val="19"/>
              </w:rPr>
              <w:t>Повећање / смањење основице, односно ПДВ - порески дужник прималац</w:t>
            </w:r>
          </w:p>
        </w:tc>
        <w:tc>
          <w:tcPr>
            <w:tcW w:w="0" w:type="auto"/>
            <w:gridSpan w:val="7"/>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b/>
                <w:bCs/>
                <w:sz w:val="19"/>
                <w:szCs w:val="19"/>
              </w:rPr>
            </w:pPr>
            <w:r w:rsidRPr="00531C9F">
              <w:rPr>
                <w:rFonts w:ascii="inherit" w:eastAsia="Times New Roman" w:hAnsi="inherit" w:cs="Times New Roman"/>
                <w:b/>
                <w:bCs/>
                <w:sz w:val="19"/>
                <w:szCs w:val="19"/>
              </w:rPr>
              <w:t>Повећање основице, односно ПДВ</w:t>
            </w:r>
          </w:p>
        </w:tc>
      </w:tr>
      <w:tr w:rsidR="00531C9F" w:rsidRPr="00531C9F" w:rsidTr="00531C9F">
        <w:trPr>
          <w:tblCellSpacing w:w="15" w:type="dxa"/>
        </w:trPr>
        <w:tc>
          <w:tcPr>
            <w:tcW w:w="0" w:type="auto"/>
            <w:gridSpan w:val="2"/>
            <w:vMerge/>
            <w:tcBorders>
              <w:top w:val="nil"/>
              <w:left w:val="nil"/>
              <w:bottom w:val="nil"/>
              <w:right w:val="nil"/>
            </w:tcBorders>
            <w:shd w:val="clear" w:color="auto" w:fill="FFFFFF"/>
            <w:tcMar>
              <w:top w:w="0" w:type="dxa"/>
              <w:left w:w="0" w:type="dxa"/>
              <w:bottom w:w="0" w:type="dxa"/>
              <w:right w:w="0" w:type="dxa"/>
            </w:tcMar>
            <w:vAlign w:val="center"/>
            <w:hideMark/>
          </w:tcPr>
          <w:p w:rsidR="00531C9F" w:rsidRPr="00531C9F" w:rsidRDefault="00531C9F" w:rsidP="00531C9F">
            <w:pPr>
              <w:spacing w:after="0" w:line="240" w:lineRule="auto"/>
              <w:rPr>
                <w:rFonts w:ascii="inherit" w:eastAsia="Times New Roman" w:hAnsi="inherit" w:cs="Times New Roman"/>
                <w:b/>
                <w:bCs/>
                <w:sz w:val="19"/>
                <w:szCs w:val="19"/>
              </w:rPr>
            </w:pP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r w:rsidRPr="00531C9F">
              <w:rPr>
                <w:rFonts w:ascii="inherit" w:eastAsia="Times New Roman" w:hAnsi="inherit" w:cs="Times New Roman"/>
                <w:sz w:val="19"/>
                <w:szCs w:val="19"/>
              </w:rPr>
              <w:t>Повећање основице за промет по стопи од 20%</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r w:rsidRPr="00531C9F">
              <w:rPr>
                <w:rFonts w:ascii="inherit" w:eastAsia="Times New Roman" w:hAnsi="inherit" w:cs="Times New Roman"/>
                <w:sz w:val="19"/>
                <w:szCs w:val="19"/>
              </w:rPr>
              <w:t>Повећање ПДВ за промет по стопи од 20%</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r w:rsidRPr="00531C9F">
              <w:rPr>
                <w:rFonts w:ascii="inherit" w:eastAsia="Times New Roman" w:hAnsi="inherit" w:cs="Times New Roman"/>
                <w:sz w:val="19"/>
                <w:szCs w:val="19"/>
              </w:rPr>
              <w:t>Повећање основице за промет по стопи од 10%</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r w:rsidRPr="00531C9F">
              <w:rPr>
                <w:rFonts w:ascii="inherit" w:eastAsia="Times New Roman" w:hAnsi="inherit" w:cs="Times New Roman"/>
                <w:sz w:val="19"/>
                <w:szCs w:val="19"/>
              </w:rPr>
              <w:t>Повећање ПДВ за промет по стопи од 10%</w:t>
            </w:r>
          </w:p>
        </w:tc>
      </w:tr>
      <w:tr w:rsidR="00531C9F" w:rsidRPr="00531C9F" w:rsidTr="00531C9F">
        <w:trPr>
          <w:tblCellSpacing w:w="15" w:type="dxa"/>
        </w:trPr>
        <w:tc>
          <w:tcPr>
            <w:tcW w:w="0" w:type="auto"/>
            <w:gridSpan w:val="2"/>
            <w:vMerge/>
            <w:tcBorders>
              <w:top w:val="nil"/>
              <w:left w:val="nil"/>
              <w:bottom w:val="nil"/>
              <w:right w:val="nil"/>
            </w:tcBorders>
            <w:shd w:val="clear" w:color="auto" w:fill="FFFFFF"/>
            <w:tcMar>
              <w:top w:w="0" w:type="dxa"/>
              <w:left w:w="0" w:type="dxa"/>
              <w:bottom w:w="0" w:type="dxa"/>
              <w:right w:w="0" w:type="dxa"/>
            </w:tcMar>
            <w:vAlign w:val="center"/>
            <w:hideMark/>
          </w:tcPr>
          <w:p w:rsidR="00531C9F" w:rsidRPr="00531C9F" w:rsidRDefault="00531C9F" w:rsidP="00531C9F">
            <w:pPr>
              <w:spacing w:after="0" w:line="240" w:lineRule="auto"/>
              <w:rPr>
                <w:rFonts w:ascii="inherit" w:eastAsia="Times New Roman" w:hAnsi="inherit" w:cs="Times New Roman"/>
                <w:b/>
                <w:bCs/>
                <w:sz w:val="19"/>
                <w:szCs w:val="19"/>
              </w:rPr>
            </w:pPr>
          </w:p>
        </w:tc>
        <w:tc>
          <w:tcPr>
            <w:tcW w:w="0" w:type="auto"/>
            <w:gridSpan w:val="7"/>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b/>
                <w:bCs/>
                <w:sz w:val="19"/>
                <w:szCs w:val="19"/>
              </w:rPr>
            </w:pPr>
            <w:r w:rsidRPr="00531C9F">
              <w:rPr>
                <w:rFonts w:ascii="inherit" w:eastAsia="Times New Roman" w:hAnsi="inherit" w:cs="Times New Roman"/>
                <w:b/>
                <w:bCs/>
                <w:sz w:val="19"/>
                <w:szCs w:val="19"/>
              </w:rPr>
              <w:t>Смањење основице, односно ПДВ</w:t>
            </w:r>
          </w:p>
        </w:tc>
      </w:tr>
      <w:tr w:rsidR="00531C9F" w:rsidRPr="00531C9F" w:rsidTr="00531C9F">
        <w:trPr>
          <w:tblCellSpacing w:w="15" w:type="dxa"/>
        </w:trPr>
        <w:tc>
          <w:tcPr>
            <w:tcW w:w="0" w:type="auto"/>
            <w:gridSpan w:val="2"/>
            <w:vMerge/>
            <w:tcBorders>
              <w:top w:val="nil"/>
              <w:left w:val="nil"/>
              <w:bottom w:val="nil"/>
              <w:right w:val="nil"/>
            </w:tcBorders>
            <w:shd w:val="clear" w:color="auto" w:fill="FFFFFF"/>
            <w:tcMar>
              <w:top w:w="0" w:type="dxa"/>
              <w:left w:w="0" w:type="dxa"/>
              <w:bottom w:w="0" w:type="dxa"/>
              <w:right w:w="0" w:type="dxa"/>
            </w:tcMar>
            <w:vAlign w:val="center"/>
            <w:hideMark/>
          </w:tcPr>
          <w:p w:rsidR="00531C9F" w:rsidRPr="00531C9F" w:rsidRDefault="00531C9F" w:rsidP="00531C9F">
            <w:pPr>
              <w:spacing w:after="0" w:line="240" w:lineRule="auto"/>
              <w:rPr>
                <w:rFonts w:ascii="inherit" w:eastAsia="Times New Roman" w:hAnsi="inherit" w:cs="Times New Roman"/>
                <w:b/>
                <w:bCs/>
                <w:sz w:val="19"/>
                <w:szCs w:val="19"/>
              </w:rPr>
            </w:pP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r w:rsidRPr="00531C9F">
              <w:rPr>
                <w:rFonts w:ascii="inherit" w:eastAsia="Times New Roman" w:hAnsi="inherit" w:cs="Times New Roman"/>
                <w:sz w:val="19"/>
                <w:szCs w:val="19"/>
              </w:rPr>
              <w:t>Смањење основице за промет по стопи од 20%</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r w:rsidRPr="00531C9F">
              <w:rPr>
                <w:rFonts w:ascii="inherit" w:eastAsia="Times New Roman" w:hAnsi="inherit" w:cs="Times New Roman"/>
                <w:sz w:val="19"/>
                <w:szCs w:val="19"/>
              </w:rPr>
              <w:t>Смањење основице за промет по стопи од 10%</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r w:rsidRPr="00531C9F">
              <w:rPr>
                <w:rFonts w:ascii="inherit" w:eastAsia="Times New Roman" w:hAnsi="inherit" w:cs="Times New Roman"/>
                <w:sz w:val="19"/>
                <w:szCs w:val="19"/>
              </w:rPr>
              <w:t>Смањење основице - аванс по стопи од 20%</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r w:rsidRPr="00531C9F">
              <w:rPr>
                <w:rFonts w:ascii="inherit" w:eastAsia="Times New Roman" w:hAnsi="inherit" w:cs="Times New Roman"/>
                <w:sz w:val="19"/>
                <w:szCs w:val="19"/>
              </w:rPr>
              <w:t>Смањење основице - аванс по стопи од 10%</w:t>
            </w:r>
          </w:p>
        </w:tc>
      </w:tr>
      <w:tr w:rsidR="00531C9F" w:rsidRPr="00531C9F" w:rsidTr="00531C9F">
        <w:trPr>
          <w:tblCellSpacing w:w="15" w:type="dxa"/>
        </w:trPr>
        <w:tc>
          <w:tcPr>
            <w:tcW w:w="0" w:type="auto"/>
            <w:gridSpan w:val="2"/>
            <w:vMerge/>
            <w:tcBorders>
              <w:top w:val="nil"/>
              <w:left w:val="nil"/>
              <w:bottom w:val="nil"/>
              <w:right w:val="nil"/>
            </w:tcBorders>
            <w:shd w:val="clear" w:color="auto" w:fill="FFFFFF"/>
            <w:tcMar>
              <w:top w:w="0" w:type="dxa"/>
              <w:left w:w="0" w:type="dxa"/>
              <w:bottom w:w="0" w:type="dxa"/>
              <w:right w:w="0" w:type="dxa"/>
            </w:tcMar>
            <w:vAlign w:val="center"/>
            <w:hideMark/>
          </w:tcPr>
          <w:p w:rsidR="00531C9F" w:rsidRPr="00531C9F" w:rsidRDefault="00531C9F" w:rsidP="00531C9F">
            <w:pPr>
              <w:spacing w:after="0" w:line="240" w:lineRule="auto"/>
              <w:rPr>
                <w:rFonts w:ascii="inherit" w:eastAsia="Times New Roman" w:hAnsi="inherit" w:cs="Times New Roman"/>
                <w:b/>
                <w:bCs/>
                <w:sz w:val="19"/>
                <w:szCs w:val="19"/>
              </w:rPr>
            </w:pP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r w:rsidRPr="00531C9F">
              <w:rPr>
                <w:rFonts w:ascii="inherit" w:eastAsia="Times New Roman" w:hAnsi="inherit" w:cs="Times New Roman"/>
                <w:sz w:val="19"/>
                <w:szCs w:val="19"/>
              </w:rPr>
              <w:t>Смањење ПДВ за промет по стопи од 20%</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r w:rsidRPr="00531C9F">
              <w:rPr>
                <w:rFonts w:ascii="inherit" w:eastAsia="Times New Roman" w:hAnsi="inherit" w:cs="Times New Roman"/>
                <w:sz w:val="19"/>
                <w:szCs w:val="19"/>
              </w:rPr>
              <w:t>Смањење ПДВ за промет по стопи од 10%</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r w:rsidRPr="00531C9F">
              <w:rPr>
                <w:rFonts w:ascii="inherit" w:eastAsia="Times New Roman" w:hAnsi="inherit" w:cs="Times New Roman"/>
                <w:sz w:val="19"/>
                <w:szCs w:val="19"/>
              </w:rPr>
              <w:t>Смањење ПДВ - аванс по стопи од 20%</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r w:rsidRPr="00531C9F">
              <w:rPr>
                <w:rFonts w:ascii="inherit" w:eastAsia="Times New Roman" w:hAnsi="inherit" w:cs="Times New Roman"/>
                <w:sz w:val="19"/>
                <w:szCs w:val="19"/>
              </w:rPr>
              <w:t>Смањење ПДВ - аванс по стопи од 10%</w:t>
            </w:r>
          </w:p>
        </w:tc>
      </w:tr>
      <w:tr w:rsidR="00531C9F" w:rsidRPr="00531C9F" w:rsidTr="00531C9F">
        <w:trPr>
          <w:tblCellSpacing w:w="15" w:type="dxa"/>
        </w:trPr>
        <w:tc>
          <w:tcPr>
            <w:tcW w:w="0" w:type="auto"/>
            <w:gridSpan w:val="2"/>
            <w:vMerge/>
            <w:tcBorders>
              <w:top w:val="nil"/>
              <w:left w:val="nil"/>
              <w:bottom w:val="nil"/>
              <w:right w:val="nil"/>
            </w:tcBorders>
            <w:shd w:val="clear" w:color="auto" w:fill="FFFFFF"/>
            <w:tcMar>
              <w:top w:w="0" w:type="dxa"/>
              <w:left w:w="0" w:type="dxa"/>
              <w:bottom w:w="0" w:type="dxa"/>
              <w:right w:w="0" w:type="dxa"/>
            </w:tcMar>
            <w:vAlign w:val="center"/>
            <w:hideMark/>
          </w:tcPr>
          <w:p w:rsidR="00531C9F" w:rsidRPr="00531C9F" w:rsidRDefault="00531C9F" w:rsidP="00531C9F">
            <w:pPr>
              <w:spacing w:after="0" w:line="240" w:lineRule="auto"/>
              <w:rPr>
                <w:rFonts w:ascii="inherit" w:eastAsia="Times New Roman" w:hAnsi="inherit" w:cs="Times New Roman"/>
                <w:b/>
                <w:bCs/>
                <w:sz w:val="19"/>
                <w:szCs w:val="19"/>
              </w:rPr>
            </w:pPr>
          </w:p>
        </w:tc>
        <w:tc>
          <w:tcPr>
            <w:tcW w:w="0" w:type="auto"/>
            <w:tcBorders>
              <w:top w:val="nil"/>
              <w:left w:val="nil"/>
              <w:bottom w:val="nil"/>
              <w:right w:val="nil"/>
            </w:tcBorders>
            <w:shd w:val="clear" w:color="auto" w:fill="676767"/>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p>
        </w:tc>
        <w:tc>
          <w:tcPr>
            <w:tcW w:w="0" w:type="auto"/>
            <w:gridSpan w:val="2"/>
            <w:tcBorders>
              <w:top w:val="nil"/>
              <w:left w:val="nil"/>
              <w:bottom w:val="nil"/>
              <w:right w:val="nil"/>
            </w:tcBorders>
            <w:shd w:val="clear" w:color="auto" w:fill="676767"/>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p>
        </w:tc>
        <w:tc>
          <w:tcPr>
            <w:tcW w:w="0" w:type="auto"/>
            <w:gridSpan w:val="2"/>
            <w:tcBorders>
              <w:top w:val="nil"/>
              <w:left w:val="nil"/>
              <w:bottom w:val="nil"/>
              <w:right w:val="nil"/>
            </w:tcBorders>
            <w:shd w:val="clear" w:color="auto" w:fill="676767"/>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p>
        </w:tc>
        <w:tc>
          <w:tcPr>
            <w:tcW w:w="0" w:type="auto"/>
            <w:gridSpan w:val="2"/>
            <w:tcBorders>
              <w:top w:val="nil"/>
              <w:left w:val="nil"/>
              <w:bottom w:val="nil"/>
              <w:right w:val="nil"/>
            </w:tcBorders>
            <w:shd w:val="clear" w:color="auto" w:fill="676767"/>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p>
        </w:tc>
      </w:tr>
      <w:tr w:rsidR="00531C9F" w:rsidRPr="00531C9F" w:rsidTr="00531C9F">
        <w:trPr>
          <w:tblCellSpacing w:w="15" w:type="dxa"/>
        </w:trPr>
        <w:tc>
          <w:tcPr>
            <w:tcW w:w="0" w:type="auto"/>
            <w:gridSpan w:val="2"/>
            <w:vMerge w:val="restart"/>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b/>
                <w:bCs/>
                <w:sz w:val="19"/>
                <w:szCs w:val="19"/>
              </w:rPr>
            </w:pPr>
            <w:r w:rsidRPr="00531C9F">
              <w:rPr>
                <w:rFonts w:ascii="inherit" w:eastAsia="Times New Roman" w:hAnsi="inherit" w:cs="Times New Roman"/>
                <w:b/>
                <w:bCs/>
                <w:sz w:val="19"/>
                <w:szCs w:val="19"/>
              </w:rPr>
              <w:t>Сторнирање - порески дужник испоручилац</w:t>
            </w:r>
          </w:p>
        </w:tc>
        <w:tc>
          <w:tcPr>
            <w:tcW w:w="0" w:type="auto"/>
            <w:gridSpan w:val="7"/>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b/>
                <w:bCs/>
                <w:sz w:val="19"/>
                <w:szCs w:val="19"/>
              </w:rPr>
            </w:pPr>
            <w:r w:rsidRPr="00531C9F">
              <w:rPr>
                <w:rFonts w:ascii="inherit" w:eastAsia="Times New Roman" w:hAnsi="inherit" w:cs="Times New Roman"/>
                <w:b/>
                <w:bCs/>
                <w:sz w:val="19"/>
                <w:szCs w:val="19"/>
              </w:rPr>
              <w:t>Повећање основице, односно ПДВ</w:t>
            </w:r>
          </w:p>
        </w:tc>
      </w:tr>
      <w:tr w:rsidR="00531C9F" w:rsidRPr="00531C9F" w:rsidTr="00531C9F">
        <w:trPr>
          <w:tblCellSpacing w:w="15" w:type="dxa"/>
        </w:trPr>
        <w:tc>
          <w:tcPr>
            <w:tcW w:w="0" w:type="auto"/>
            <w:gridSpan w:val="2"/>
            <w:vMerge/>
            <w:tcBorders>
              <w:top w:val="nil"/>
              <w:left w:val="nil"/>
              <w:bottom w:val="nil"/>
              <w:right w:val="nil"/>
            </w:tcBorders>
            <w:shd w:val="clear" w:color="auto" w:fill="FFFFFF"/>
            <w:tcMar>
              <w:top w:w="0" w:type="dxa"/>
              <w:left w:w="0" w:type="dxa"/>
              <w:bottom w:w="0" w:type="dxa"/>
              <w:right w:w="0" w:type="dxa"/>
            </w:tcMar>
            <w:vAlign w:val="center"/>
            <w:hideMark/>
          </w:tcPr>
          <w:p w:rsidR="00531C9F" w:rsidRPr="00531C9F" w:rsidRDefault="00531C9F" w:rsidP="00531C9F">
            <w:pPr>
              <w:spacing w:after="0" w:line="240" w:lineRule="auto"/>
              <w:rPr>
                <w:rFonts w:ascii="inherit" w:eastAsia="Times New Roman" w:hAnsi="inherit" w:cs="Times New Roman"/>
                <w:b/>
                <w:bCs/>
                <w:sz w:val="19"/>
                <w:szCs w:val="19"/>
              </w:rPr>
            </w:pP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r w:rsidRPr="00531C9F">
              <w:rPr>
                <w:rFonts w:ascii="inherit" w:eastAsia="Times New Roman" w:hAnsi="inherit" w:cs="Times New Roman"/>
                <w:sz w:val="19"/>
                <w:szCs w:val="19"/>
              </w:rPr>
              <w:t>Повећање основице по стопи од 20%</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r w:rsidRPr="00531C9F">
              <w:rPr>
                <w:rFonts w:ascii="inherit" w:eastAsia="Times New Roman" w:hAnsi="inherit" w:cs="Times New Roman"/>
                <w:sz w:val="19"/>
                <w:szCs w:val="19"/>
              </w:rPr>
              <w:t>Повећање ПДВ по стопи од 20%</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r w:rsidRPr="00531C9F">
              <w:rPr>
                <w:rFonts w:ascii="inherit" w:eastAsia="Times New Roman" w:hAnsi="inherit" w:cs="Times New Roman"/>
                <w:sz w:val="19"/>
                <w:szCs w:val="19"/>
              </w:rPr>
              <w:t>Повећање основице по стопи од 10%</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r w:rsidRPr="00531C9F">
              <w:rPr>
                <w:rFonts w:ascii="inherit" w:eastAsia="Times New Roman" w:hAnsi="inherit" w:cs="Times New Roman"/>
                <w:sz w:val="19"/>
                <w:szCs w:val="19"/>
              </w:rPr>
              <w:t>Повећање ПДВ по стопи од 10%</w:t>
            </w:r>
          </w:p>
        </w:tc>
      </w:tr>
      <w:tr w:rsidR="00531C9F" w:rsidRPr="00531C9F" w:rsidTr="00531C9F">
        <w:trPr>
          <w:tblCellSpacing w:w="15" w:type="dxa"/>
        </w:trPr>
        <w:tc>
          <w:tcPr>
            <w:tcW w:w="0" w:type="auto"/>
            <w:gridSpan w:val="2"/>
            <w:vMerge/>
            <w:tcBorders>
              <w:top w:val="nil"/>
              <w:left w:val="nil"/>
              <w:bottom w:val="nil"/>
              <w:right w:val="nil"/>
            </w:tcBorders>
            <w:shd w:val="clear" w:color="auto" w:fill="FFFFFF"/>
            <w:tcMar>
              <w:top w:w="0" w:type="dxa"/>
              <w:left w:w="0" w:type="dxa"/>
              <w:bottom w:w="0" w:type="dxa"/>
              <w:right w:w="0" w:type="dxa"/>
            </w:tcMar>
            <w:vAlign w:val="center"/>
            <w:hideMark/>
          </w:tcPr>
          <w:p w:rsidR="00531C9F" w:rsidRPr="00531C9F" w:rsidRDefault="00531C9F" w:rsidP="00531C9F">
            <w:pPr>
              <w:spacing w:after="0" w:line="240" w:lineRule="auto"/>
              <w:rPr>
                <w:rFonts w:ascii="inherit" w:eastAsia="Times New Roman" w:hAnsi="inherit" w:cs="Times New Roman"/>
                <w:b/>
                <w:bCs/>
                <w:sz w:val="19"/>
                <w:szCs w:val="19"/>
              </w:rPr>
            </w:pPr>
          </w:p>
        </w:tc>
        <w:tc>
          <w:tcPr>
            <w:tcW w:w="0" w:type="auto"/>
            <w:gridSpan w:val="7"/>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b/>
                <w:bCs/>
                <w:sz w:val="19"/>
                <w:szCs w:val="19"/>
              </w:rPr>
            </w:pPr>
            <w:r w:rsidRPr="00531C9F">
              <w:rPr>
                <w:rFonts w:ascii="inherit" w:eastAsia="Times New Roman" w:hAnsi="inherit" w:cs="Times New Roman"/>
                <w:b/>
                <w:bCs/>
                <w:sz w:val="19"/>
                <w:szCs w:val="19"/>
              </w:rPr>
              <w:t>Смањење основице, односно ПДВ</w:t>
            </w:r>
          </w:p>
        </w:tc>
      </w:tr>
      <w:tr w:rsidR="00531C9F" w:rsidRPr="00531C9F" w:rsidTr="00531C9F">
        <w:trPr>
          <w:tblCellSpacing w:w="15" w:type="dxa"/>
        </w:trPr>
        <w:tc>
          <w:tcPr>
            <w:tcW w:w="0" w:type="auto"/>
            <w:gridSpan w:val="2"/>
            <w:vMerge/>
            <w:tcBorders>
              <w:top w:val="nil"/>
              <w:left w:val="nil"/>
              <w:bottom w:val="nil"/>
              <w:right w:val="nil"/>
            </w:tcBorders>
            <w:shd w:val="clear" w:color="auto" w:fill="FFFFFF"/>
            <w:tcMar>
              <w:top w:w="0" w:type="dxa"/>
              <w:left w:w="0" w:type="dxa"/>
              <w:bottom w:w="0" w:type="dxa"/>
              <w:right w:w="0" w:type="dxa"/>
            </w:tcMar>
            <w:vAlign w:val="center"/>
            <w:hideMark/>
          </w:tcPr>
          <w:p w:rsidR="00531C9F" w:rsidRPr="00531C9F" w:rsidRDefault="00531C9F" w:rsidP="00531C9F">
            <w:pPr>
              <w:spacing w:after="0" w:line="240" w:lineRule="auto"/>
              <w:rPr>
                <w:rFonts w:ascii="inherit" w:eastAsia="Times New Roman" w:hAnsi="inherit" w:cs="Times New Roman"/>
                <w:b/>
                <w:bCs/>
                <w:sz w:val="19"/>
                <w:szCs w:val="19"/>
              </w:rPr>
            </w:pP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r w:rsidRPr="00531C9F">
              <w:rPr>
                <w:rFonts w:ascii="inherit" w:eastAsia="Times New Roman" w:hAnsi="inherit" w:cs="Times New Roman"/>
                <w:sz w:val="19"/>
                <w:szCs w:val="19"/>
              </w:rPr>
              <w:t>Смањење основице за промет по стопи од 20%</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r w:rsidRPr="00531C9F">
              <w:rPr>
                <w:rFonts w:ascii="inherit" w:eastAsia="Times New Roman" w:hAnsi="inherit" w:cs="Times New Roman"/>
                <w:sz w:val="19"/>
                <w:szCs w:val="19"/>
              </w:rPr>
              <w:t>Смањење основице за промет по стопи од 10%</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r w:rsidRPr="00531C9F">
              <w:rPr>
                <w:rFonts w:ascii="inherit" w:eastAsia="Times New Roman" w:hAnsi="inherit" w:cs="Times New Roman"/>
                <w:sz w:val="19"/>
                <w:szCs w:val="19"/>
              </w:rPr>
              <w:t>Смањење основице - аванс по стопи од 20%</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r w:rsidRPr="00531C9F">
              <w:rPr>
                <w:rFonts w:ascii="inherit" w:eastAsia="Times New Roman" w:hAnsi="inherit" w:cs="Times New Roman"/>
                <w:sz w:val="19"/>
                <w:szCs w:val="19"/>
              </w:rPr>
              <w:t>Смањење основице - аванс по стопи од 10%</w:t>
            </w:r>
          </w:p>
        </w:tc>
      </w:tr>
      <w:tr w:rsidR="00531C9F" w:rsidRPr="00531C9F" w:rsidTr="00531C9F">
        <w:trPr>
          <w:tblCellSpacing w:w="15" w:type="dxa"/>
        </w:trPr>
        <w:tc>
          <w:tcPr>
            <w:tcW w:w="0" w:type="auto"/>
            <w:gridSpan w:val="2"/>
            <w:vMerge/>
            <w:tcBorders>
              <w:top w:val="nil"/>
              <w:left w:val="nil"/>
              <w:bottom w:val="nil"/>
              <w:right w:val="nil"/>
            </w:tcBorders>
            <w:shd w:val="clear" w:color="auto" w:fill="FFFFFF"/>
            <w:tcMar>
              <w:top w:w="0" w:type="dxa"/>
              <w:left w:w="0" w:type="dxa"/>
              <w:bottom w:w="0" w:type="dxa"/>
              <w:right w:w="0" w:type="dxa"/>
            </w:tcMar>
            <w:vAlign w:val="center"/>
            <w:hideMark/>
          </w:tcPr>
          <w:p w:rsidR="00531C9F" w:rsidRPr="00531C9F" w:rsidRDefault="00531C9F" w:rsidP="00531C9F">
            <w:pPr>
              <w:spacing w:after="0" w:line="240" w:lineRule="auto"/>
              <w:rPr>
                <w:rFonts w:ascii="inherit" w:eastAsia="Times New Roman" w:hAnsi="inherit" w:cs="Times New Roman"/>
                <w:b/>
                <w:bCs/>
                <w:sz w:val="19"/>
                <w:szCs w:val="19"/>
              </w:rPr>
            </w:pP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r w:rsidRPr="00531C9F">
              <w:rPr>
                <w:rFonts w:ascii="inherit" w:eastAsia="Times New Roman" w:hAnsi="inherit" w:cs="Times New Roman"/>
                <w:sz w:val="19"/>
                <w:szCs w:val="19"/>
              </w:rPr>
              <w:t xml:space="preserve">Смањење ПДВ за промет по стопи </w:t>
            </w:r>
            <w:r w:rsidRPr="00531C9F">
              <w:rPr>
                <w:rFonts w:ascii="inherit" w:eastAsia="Times New Roman" w:hAnsi="inherit" w:cs="Times New Roman"/>
                <w:sz w:val="19"/>
                <w:szCs w:val="19"/>
              </w:rPr>
              <w:lastRenderedPageBreak/>
              <w:t>од 20%</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r w:rsidRPr="00531C9F">
              <w:rPr>
                <w:rFonts w:ascii="inherit" w:eastAsia="Times New Roman" w:hAnsi="inherit" w:cs="Times New Roman"/>
                <w:sz w:val="19"/>
                <w:szCs w:val="19"/>
              </w:rPr>
              <w:lastRenderedPageBreak/>
              <w:t xml:space="preserve">Смањење ПДВ за промет по стопи од </w:t>
            </w:r>
            <w:r w:rsidRPr="00531C9F">
              <w:rPr>
                <w:rFonts w:ascii="inherit" w:eastAsia="Times New Roman" w:hAnsi="inherit" w:cs="Times New Roman"/>
                <w:sz w:val="19"/>
                <w:szCs w:val="19"/>
              </w:rPr>
              <w:lastRenderedPageBreak/>
              <w:t>10%</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r w:rsidRPr="00531C9F">
              <w:rPr>
                <w:rFonts w:ascii="inherit" w:eastAsia="Times New Roman" w:hAnsi="inherit" w:cs="Times New Roman"/>
                <w:sz w:val="19"/>
                <w:szCs w:val="19"/>
              </w:rPr>
              <w:lastRenderedPageBreak/>
              <w:t xml:space="preserve">Смањење ПДВ - аванс по стопи од </w:t>
            </w:r>
            <w:r w:rsidRPr="00531C9F">
              <w:rPr>
                <w:rFonts w:ascii="inherit" w:eastAsia="Times New Roman" w:hAnsi="inherit" w:cs="Times New Roman"/>
                <w:sz w:val="19"/>
                <w:szCs w:val="19"/>
              </w:rPr>
              <w:lastRenderedPageBreak/>
              <w:t>20%</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r w:rsidRPr="00531C9F">
              <w:rPr>
                <w:rFonts w:ascii="inherit" w:eastAsia="Times New Roman" w:hAnsi="inherit" w:cs="Times New Roman"/>
                <w:sz w:val="19"/>
                <w:szCs w:val="19"/>
              </w:rPr>
              <w:lastRenderedPageBreak/>
              <w:t xml:space="preserve">Смањење ПДВ - аванс по стопи од </w:t>
            </w:r>
            <w:r w:rsidRPr="00531C9F">
              <w:rPr>
                <w:rFonts w:ascii="inherit" w:eastAsia="Times New Roman" w:hAnsi="inherit" w:cs="Times New Roman"/>
                <w:sz w:val="19"/>
                <w:szCs w:val="19"/>
              </w:rPr>
              <w:lastRenderedPageBreak/>
              <w:t>10%</w:t>
            </w:r>
          </w:p>
        </w:tc>
      </w:tr>
      <w:tr w:rsidR="00531C9F" w:rsidRPr="00531C9F" w:rsidTr="00531C9F">
        <w:trPr>
          <w:tblCellSpacing w:w="15" w:type="dxa"/>
        </w:trPr>
        <w:tc>
          <w:tcPr>
            <w:tcW w:w="0" w:type="auto"/>
            <w:gridSpan w:val="2"/>
            <w:vMerge/>
            <w:tcBorders>
              <w:top w:val="nil"/>
              <w:left w:val="nil"/>
              <w:bottom w:val="nil"/>
              <w:right w:val="nil"/>
            </w:tcBorders>
            <w:shd w:val="clear" w:color="auto" w:fill="FFFFFF"/>
            <w:tcMar>
              <w:top w:w="0" w:type="dxa"/>
              <w:left w:w="0" w:type="dxa"/>
              <w:bottom w:w="0" w:type="dxa"/>
              <w:right w:w="0" w:type="dxa"/>
            </w:tcMar>
            <w:vAlign w:val="center"/>
            <w:hideMark/>
          </w:tcPr>
          <w:p w:rsidR="00531C9F" w:rsidRPr="00531C9F" w:rsidRDefault="00531C9F" w:rsidP="00531C9F">
            <w:pPr>
              <w:spacing w:after="0" w:line="240" w:lineRule="auto"/>
              <w:rPr>
                <w:rFonts w:ascii="inherit" w:eastAsia="Times New Roman" w:hAnsi="inherit" w:cs="Times New Roman"/>
                <w:b/>
                <w:bCs/>
                <w:sz w:val="19"/>
                <w:szCs w:val="19"/>
              </w:rPr>
            </w:pPr>
          </w:p>
        </w:tc>
        <w:tc>
          <w:tcPr>
            <w:tcW w:w="0" w:type="auto"/>
            <w:tcBorders>
              <w:top w:val="nil"/>
              <w:left w:val="nil"/>
              <w:bottom w:val="nil"/>
              <w:right w:val="nil"/>
            </w:tcBorders>
            <w:shd w:val="clear" w:color="auto" w:fill="676767"/>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p>
        </w:tc>
        <w:tc>
          <w:tcPr>
            <w:tcW w:w="0" w:type="auto"/>
            <w:gridSpan w:val="2"/>
            <w:tcBorders>
              <w:top w:val="nil"/>
              <w:left w:val="nil"/>
              <w:bottom w:val="nil"/>
              <w:right w:val="nil"/>
            </w:tcBorders>
            <w:shd w:val="clear" w:color="auto" w:fill="676767"/>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p>
        </w:tc>
        <w:tc>
          <w:tcPr>
            <w:tcW w:w="0" w:type="auto"/>
            <w:gridSpan w:val="2"/>
            <w:tcBorders>
              <w:top w:val="nil"/>
              <w:left w:val="nil"/>
              <w:bottom w:val="nil"/>
              <w:right w:val="nil"/>
            </w:tcBorders>
            <w:shd w:val="clear" w:color="auto" w:fill="676767"/>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p>
        </w:tc>
        <w:tc>
          <w:tcPr>
            <w:tcW w:w="0" w:type="auto"/>
            <w:gridSpan w:val="2"/>
            <w:tcBorders>
              <w:top w:val="nil"/>
              <w:left w:val="nil"/>
              <w:bottom w:val="nil"/>
              <w:right w:val="nil"/>
            </w:tcBorders>
            <w:shd w:val="clear" w:color="auto" w:fill="676767"/>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p>
        </w:tc>
      </w:tr>
      <w:tr w:rsidR="00531C9F" w:rsidRPr="00531C9F" w:rsidTr="00531C9F">
        <w:trPr>
          <w:tblCellSpacing w:w="15" w:type="dxa"/>
        </w:trPr>
        <w:tc>
          <w:tcPr>
            <w:tcW w:w="0" w:type="auto"/>
            <w:gridSpan w:val="2"/>
            <w:vMerge w:val="restart"/>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b/>
                <w:bCs/>
                <w:sz w:val="19"/>
                <w:szCs w:val="19"/>
              </w:rPr>
            </w:pPr>
            <w:r w:rsidRPr="00531C9F">
              <w:rPr>
                <w:rFonts w:ascii="inherit" w:eastAsia="Times New Roman" w:hAnsi="inherit" w:cs="Times New Roman"/>
                <w:b/>
                <w:bCs/>
                <w:sz w:val="19"/>
                <w:szCs w:val="19"/>
              </w:rPr>
              <w:t>Сторнирање - порески дужник прималац</w:t>
            </w:r>
          </w:p>
        </w:tc>
        <w:tc>
          <w:tcPr>
            <w:tcW w:w="0" w:type="auto"/>
            <w:gridSpan w:val="7"/>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b/>
                <w:bCs/>
                <w:sz w:val="19"/>
                <w:szCs w:val="19"/>
              </w:rPr>
            </w:pPr>
            <w:r w:rsidRPr="00531C9F">
              <w:rPr>
                <w:rFonts w:ascii="inherit" w:eastAsia="Times New Roman" w:hAnsi="inherit" w:cs="Times New Roman"/>
                <w:b/>
                <w:bCs/>
                <w:sz w:val="19"/>
                <w:szCs w:val="19"/>
              </w:rPr>
              <w:t>Повећање основице, односно ПДВ</w:t>
            </w:r>
          </w:p>
        </w:tc>
      </w:tr>
      <w:tr w:rsidR="00531C9F" w:rsidRPr="00531C9F" w:rsidTr="00531C9F">
        <w:trPr>
          <w:tblCellSpacing w:w="15" w:type="dxa"/>
        </w:trPr>
        <w:tc>
          <w:tcPr>
            <w:tcW w:w="0" w:type="auto"/>
            <w:gridSpan w:val="2"/>
            <w:vMerge/>
            <w:tcBorders>
              <w:top w:val="nil"/>
              <w:left w:val="nil"/>
              <w:bottom w:val="nil"/>
              <w:right w:val="nil"/>
            </w:tcBorders>
            <w:shd w:val="clear" w:color="auto" w:fill="FFFFFF"/>
            <w:tcMar>
              <w:top w:w="0" w:type="dxa"/>
              <w:left w:w="0" w:type="dxa"/>
              <w:bottom w:w="0" w:type="dxa"/>
              <w:right w:w="0" w:type="dxa"/>
            </w:tcMar>
            <w:vAlign w:val="center"/>
            <w:hideMark/>
          </w:tcPr>
          <w:p w:rsidR="00531C9F" w:rsidRPr="00531C9F" w:rsidRDefault="00531C9F" w:rsidP="00531C9F">
            <w:pPr>
              <w:spacing w:after="0" w:line="240" w:lineRule="auto"/>
              <w:rPr>
                <w:rFonts w:ascii="inherit" w:eastAsia="Times New Roman" w:hAnsi="inherit" w:cs="Times New Roman"/>
                <w:b/>
                <w:bCs/>
                <w:sz w:val="19"/>
                <w:szCs w:val="19"/>
              </w:rPr>
            </w:pP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r w:rsidRPr="00531C9F">
              <w:rPr>
                <w:rFonts w:ascii="inherit" w:eastAsia="Times New Roman" w:hAnsi="inherit" w:cs="Times New Roman"/>
                <w:sz w:val="19"/>
                <w:szCs w:val="19"/>
              </w:rPr>
              <w:t>Повећање основице по стопи од 20%</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r w:rsidRPr="00531C9F">
              <w:rPr>
                <w:rFonts w:ascii="inherit" w:eastAsia="Times New Roman" w:hAnsi="inherit" w:cs="Times New Roman"/>
                <w:sz w:val="19"/>
                <w:szCs w:val="19"/>
              </w:rPr>
              <w:t>Повећање ПДВ по стопи од 20%</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r w:rsidRPr="00531C9F">
              <w:rPr>
                <w:rFonts w:ascii="inherit" w:eastAsia="Times New Roman" w:hAnsi="inherit" w:cs="Times New Roman"/>
                <w:sz w:val="19"/>
                <w:szCs w:val="19"/>
              </w:rPr>
              <w:t>Повећање основице по стопи од 10%</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r w:rsidRPr="00531C9F">
              <w:rPr>
                <w:rFonts w:ascii="inherit" w:eastAsia="Times New Roman" w:hAnsi="inherit" w:cs="Times New Roman"/>
                <w:sz w:val="19"/>
                <w:szCs w:val="19"/>
              </w:rPr>
              <w:t>Повећање ПДВ по стопи од 10%</w:t>
            </w:r>
          </w:p>
        </w:tc>
      </w:tr>
      <w:tr w:rsidR="00531C9F" w:rsidRPr="00531C9F" w:rsidTr="00531C9F">
        <w:trPr>
          <w:tblCellSpacing w:w="15" w:type="dxa"/>
        </w:trPr>
        <w:tc>
          <w:tcPr>
            <w:tcW w:w="0" w:type="auto"/>
            <w:gridSpan w:val="2"/>
            <w:vMerge/>
            <w:tcBorders>
              <w:top w:val="nil"/>
              <w:left w:val="nil"/>
              <w:bottom w:val="nil"/>
              <w:right w:val="nil"/>
            </w:tcBorders>
            <w:shd w:val="clear" w:color="auto" w:fill="FFFFFF"/>
            <w:tcMar>
              <w:top w:w="0" w:type="dxa"/>
              <w:left w:w="0" w:type="dxa"/>
              <w:bottom w:w="0" w:type="dxa"/>
              <w:right w:w="0" w:type="dxa"/>
            </w:tcMar>
            <w:vAlign w:val="center"/>
            <w:hideMark/>
          </w:tcPr>
          <w:p w:rsidR="00531C9F" w:rsidRPr="00531C9F" w:rsidRDefault="00531C9F" w:rsidP="00531C9F">
            <w:pPr>
              <w:spacing w:after="0" w:line="240" w:lineRule="auto"/>
              <w:rPr>
                <w:rFonts w:ascii="inherit" w:eastAsia="Times New Roman" w:hAnsi="inherit" w:cs="Times New Roman"/>
                <w:b/>
                <w:bCs/>
                <w:sz w:val="19"/>
                <w:szCs w:val="19"/>
              </w:rPr>
            </w:pPr>
          </w:p>
        </w:tc>
        <w:tc>
          <w:tcPr>
            <w:tcW w:w="0" w:type="auto"/>
            <w:gridSpan w:val="7"/>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b/>
                <w:bCs/>
                <w:sz w:val="19"/>
                <w:szCs w:val="19"/>
              </w:rPr>
            </w:pPr>
            <w:r w:rsidRPr="00531C9F">
              <w:rPr>
                <w:rFonts w:ascii="inherit" w:eastAsia="Times New Roman" w:hAnsi="inherit" w:cs="Times New Roman"/>
                <w:b/>
                <w:bCs/>
                <w:sz w:val="19"/>
                <w:szCs w:val="19"/>
              </w:rPr>
              <w:t>Смањење основице, односно ПДВ</w:t>
            </w:r>
          </w:p>
        </w:tc>
      </w:tr>
      <w:tr w:rsidR="00531C9F" w:rsidRPr="00531C9F" w:rsidTr="00531C9F">
        <w:trPr>
          <w:tblCellSpacing w:w="15" w:type="dxa"/>
        </w:trPr>
        <w:tc>
          <w:tcPr>
            <w:tcW w:w="0" w:type="auto"/>
            <w:gridSpan w:val="2"/>
            <w:vMerge/>
            <w:tcBorders>
              <w:top w:val="nil"/>
              <w:left w:val="nil"/>
              <w:bottom w:val="nil"/>
              <w:right w:val="nil"/>
            </w:tcBorders>
            <w:shd w:val="clear" w:color="auto" w:fill="FFFFFF"/>
            <w:tcMar>
              <w:top w:w="0" w:type="dxa"/>
              <w:left w:w="0" w:type="dxa"/>
              <w:bottom w:w="0" w:type="dxa"/>
              <w:right w:w="0" w:type="dxa"/>
            </w:tcMar>
            <w:vAlign w:val="center"/>
            <w:hideMark/>
          </w:tcPr>
          <w:p w:rsidR="00531C9F" w:rsidRPr="00531C9F" w:rsidRDefault="00531C9F" w:rsidP="00531C9F">
            <w:pPr>
              <w:spacing w:after="0" w:line="240" w:lineRule="auto"/>
              <w:rPr>
                <w:rFonts w:ascii="inherit" w:eastAsia="Times New Roman" w:hAnsi="inherit" w:cs="Times New Roman"/>
                <w:b/>
                <w:bCs/>
                <w:sz w:val="19"/>
                <w:szCs w:val="19"/>
              </w:rPr>
            </w:pP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r w:rsidRPr="00531C9F">
              <w:rPr>
                <w:rFonts w:ascii="inherit" w:eastAsia="Times New Roman" w:hAnsi="inherit" w:cs="Times New Roman"/>
                <w:sz w:val="19"/>
                <w:szCs w:val="19"/>
              </w:rPr>
              <w:t>Смањење основице за промет по стопи од 20%</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r w:rsidRPr="00531C9F">
              <w:rPr>
                <w:rFonts w:ascii="inherit" w:eastAsia="Times New Roman" w:hAnsi="inherit" w:cs="Times New Roman"/>
                <w:sz w:val="19"/>
                <w:szCs w:val="19"/>
              </w:rPr>
              <w:t>Смањење основице за промет по стопи од 10%</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r w:rsidRPr="00531C9F">
              <w:rPr>
                <w:rFonts w:ascii="inherit" w:eastAsia="Times New Roman" w:hAnsi="inherit" w:cs="Times New Roman"/>
                <w:sz w:val="19"/>
                <w:szCs w:val="19"/>
              </w:rPr>
              <w:t>Смањење основице - аванс по стопи од 20%</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r w:rsidRPr="00531C9F">
              <w:rPr>
                <w:rFonts w:ascii="inherit" w:eastAsia="Times New Roman" w:hAnsi="inherit" w:cs="Times New Roman"/>
                <w:sz w:val="19"/>
                <w:szCs w:val="19"/>
              </w:rPr>
              <w:t>Смањење основице - аванс по стопи од 10%</w:t>
            </w:r>
          </w:p>
        </w:tc>
      </w:tr>
      <w:tr w:rsidR="00531C9F" w:rsidRPr="00531C9F" w:rsidTr="00531C9F">
        <w:trPr>
          <w:tblCellSpacing w:w="15" w:type="dxa"/>
        </w:trPr>
        <w:tc>
          <w:tcPr>
            <w:tcW w:w="0" w:type="auto"/>
            <w:gridSpan w:val="2"/>
            <w:vMerge/>
            <w:tcBorders>
              <w:top w:val="nil"/>
              <w:left w:val="nil"/>
              <w:bottom w:val="nil"/>
              <w:right w:val="nil"/>
            </w:tcBorders>
            <w:shd w:val="clear" w:color="auto" w:fill="FFFFFF"/>
            <w:tcMar>
              <w:top w:w="0" w:type="dxa"/>
              <w:left w:w="0" w:type="dxa"/>
              <w:bottom w:w="0" w:type="dxa"/>
              <w:right w:w="0" w:type="dxa"/>
            </w:tcMar>
            <w:vAlign w:val="center"/>
            <w:hideMark/>
          </w:tcPr>
          <w:p w:rsidR="00531C9F" w:rsidRPr="00531C9F" w:rsidRDefault="00531C9F" w:rsidP="00531C9F">
            <w:pPr>
              <w:spacing w:after="0" w:line="240" w:lineRule="auto"/>
              <w:rPr>
                <w:rFonts w:ascii="inherit" w:eastAsia="Times New Roman" w:hAnsi="inherit" w:cs="Times New Roman"/>
                <w:b/>
                <w:bCs/>
                <w:sz w:val="19"/>
                <w:szCs w:val="19"/>
              </w:rPr>
            </w:pPr>
          </w:p>
        </w:tc>
        <w:tc>
          <w:tcPr>
            <w:tcW w:w="0" w:type="auto"/>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r w:rsidRPr="00531C9F">
              <w:rPr>
                <w:rFonts w:ascii="inherit" w:eastAsia="Times New Roman" w:hAnsi="inherit" w:cs="Times New Roman"/>
                <w:sz w:val="19"/>
                <w:szCs w:val="19"/>
              </w:rPr>
              <w:t>Смањење ПДВ за промет по стопи од 20%</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r w:rsidRPr="00531C9F">
              <w:rPr>
                <w:rFonts w:ascii="inherit" w:eastAsia="Times New Roman" w:hAnsi="inherit" w:cs="Times New Roman"/>
                <w:sz w:val="19"/>
                <w:szCs w:val="19"/>
              </w:rPr>
              <w:t>Смањење ПДВ за промет по стопи од 10%</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r w:rsidRPr="00531C9F">
              <w:rPr>
                <w:rFonts w:ascii="inherit" w:eastAsia="Times New Roman" w:hAnsi="inherit" w:cs="Times New Roman"/>
                <w:sz w:val="19"/>
                <w:szCs w:val="19"/>
              </w:rPr>
              <w:t>Смањење ПДВ - аванс по стопи од 20%</w:t>
            </w:r>
          </w:p>
        </w:tc>
        <w:tc>
          <w:tcPr>
            <w:tcW w:w="0" w:type="auto"/>
            <w:gridSpan w:val="2"/>
            <w:tcBorders>
              <w:top w:val="nil"/>
              <w:left w:val="nil"/>
              <w:bottom w:val="nil"/>
              <w:right w:val="nil"/>
            </w:tcBorders>
            <w:shd w:val="clear" w:color="auto" w:fill="FFFFFF"/>
            <w:tcMar>
              <w:top w:w="120" w:type="dxa"/>
              <w:left w:w="150" w:type="dxa"/>
              <w:bottom w:w="120" w:type="dxa"/>
              <w:right w:w="150" w:type="dxa"/>
            </w:tcMar>
            <w:vAlign w:val="center"/>
            <w:hideMark/>
          </w:tcPr>
          <w:p w:rsidR="00531C9F" w:rsidRPr="00531C9F" w:rsidRDefault="00531C9F" w:rsidP="00531C9F">
            <w:pPr>
              <w:spacing w:after="0" w:line="240" w:lineRule="auto"/>
              <w:jc w:val="center"/>
              <w:rPr>
                <w:rFonts w:ascii="inherit" w:eastAsia="Times New Roman" w:hAnsi="inherit" w:cs="Times New Roman"/>
                <w:sz w:val="19"/>
                <w:szCs w:val="19"/>
              </w:rPr>
            </w:pPr>
            <w:r w:rsidRPr="00531C9F">
              <w:rPr>
                <w:rFonts w:ascii="inherit" w:eastAsia="Times New Roman" w:hAnsi="inherit" w:cs="Times New Roman"/>
                <w:sz w:val="19"/>
                <w:szCs w:val="19"/>
              </w:rPr>
              <w:t>Смањење ПДВ - аванс по стопи од 10%</w:t>
            </w:r>
          </w:p>
        </w:tc>
      </w:tr>
    </w:tbl>
    <w:p w:rsidR="00531C9F" w:rsidRPr="00531C9F" w:rsidRDefault="00531C9F" w:rsidP="00531C9F">
      <w:pPr>
        <w:shd w:val="clear" w:color="auto" w:fill="FFFFFF"/>
        <w:spacing w:after="0" w:line="240" w:lineRule="auto"/>
        <w:ind w:left="300"/>
        <w:textAlignment w:val="baseline"/>
        <w:rPr>
          <w:rFonts w:ascii="inherit" w:eastAsia="Times New Roman" w:hAnsi="inherit" w:cs="Helvetica"/>
          <w:color w:val="333333"/>
          <w:sz w:val="27"/>
          <w:szCs w:val="27"/>
        </w:rPr>
      </w:pPr>
      <w:bookmarkStart w:id="0" w:name="_GoBack"/>
      <w:bookmarkEnd w:id="0"/>
    </w:p>
    <w:p w:rsidR="0073147B" w:rsidRDefault="0073147B"/>
    <w:sectPr w:rsidR="0073147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E7891"/>
    <w:multiLevelType w:val="multilevel"/>
    <w:tmpl w:val="6DBE841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695DDA"/>
    <w:multiLevelType w:val="multilevel"/>
    <w:tmpl w:val="86560F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36F22C6"/>
    <w:multiLevelType w:val="multilevel"/>
    <w:tmpl w:val="7B50397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8430FBF"/>
    <w:multiLevelType w:val="multilevel"/>
    <w:tmpl w:val="960E26E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13E2300"/>
    <w:multiLevelType w:val="multilevel"/>
    <w:tmpl w:val="E94E0D6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CED1EF7"/>
    <w:multiLevelType w:val="multilevel"/>
    <w:tmpl w:val="1EEA66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88300FA"/>
    <w:multiLevelType w:val="multilevel"/>
    <w:tmpl w:val="618811F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A6C4740"/>
    <w:multiLevelType w:val="multilevel"/>
    <w:tmpl w:val="679676C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
  </w:num>
  <w:num w:numId="3">
    <w:abstractNumId w:val="5"/>
  </w:num>
  <w:num w:numId="4">
    <w:abstractNumId w:val="4"/>
  </w:num>
  <w:num w:numId="5">
    <w:abstractNumId w:val="6"/>
  </w:num>
  <w:num w:numId="6">
    <w:abstractNumId w:val="2"/>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1C9F"/>
    <w:rsid w:val="00531C9F"/>
    <w:rsid w:val="00731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531C9F"/>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531C9F"/>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531C9F"/>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531C9F"/>
    <w:rPr>
      <w:rFonts w:ascii="Times New Roman" w:eastAsia="Times New Roman" w:hAnsi="Times New Roman" w:cs="Times New Roman"/>
      <w:b/>
      <w:bCs/>
      <w:sz w:val="20"/>
      <w:szCs w:val="20"/>
    </w:rPr>
  </w:style>
  <w:style w:type="numbering" w:customStyle="1" w:styleId="NoList1">
    <w:name w:val="No List1"/>
    <w:next w:val="NoList"/>
    <w:uiPriority w:val="99"/>
    <w:semiHidden/>
    <w:unhideWhenUsed/>
    <w:rsid w:val="00531C9F"/>
  </w:style>
  <w:style w:type="character" w:customStyle="1" w:styleId="mps2id-t">
    <w:name w:val="_mps2id-t"/>
    <w:basedOn w:val="DefaultParagraphFont"/>
    <w:rsid w:val="00531C9F"/>
  </w:style>
  <w:style w:type="paragraph" w:styleId="NormalWeb">
    <w:name w:val="Normal (Web)"/>
    <w:basedOn w:val="Normal"/>
    <w:uiPriority w:val="99"/>
    <w:semiHidden/>
    <w:unhideWhenUsed/>
    <w:rsid w:val="00531C9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31C9F"/>
    <w:rPr>
      <w:b/>
      <w:bCs/>
    </w:rPr>
  </w:style>
  <w:style w:type="character" w:styleId="Emphasis">
    <w:name w:val="Emphasis"/>
    <w:basedOn w:val="DefaultParagraphFont"/>
    <w:uiPriority w:val="20"/>
    <w:qFormat/>
    <w:rsid w:val="00531C9F"/>
    <w:rPr>
      <w:i/>
      <w:iCs/>
    </w:rPr>
  </w:style>
  <w:style w:type="character" w:customStyle="1" w:styleId="datatablessorticon">
    <w:name w:val="datatables_sort_icon"/>
    <w:basedOn w:val="DefaultParagraphFont"/>
    <w:rsid w:val="00531C9F"/>
  </w:style>
  <w:style w:type="character" w:styleId="Hyperlink">
    <w:name w:val="Hyperlink"/>
    <w:basedOn w:val="DefaultParagraphFont"/>
    <w:uiPriority w:val="99"/>
    <w:semiHidden/>
    <w:unhideWhenUsed/>
    <w:rsid w:val="00531C9F"/>
    <w:rPr>
      <w:color w:val="0000FF"/>
      <w:u w:val="single"/>
    </w:rPr>
  </w:style>
  <w:style w:type="character" w:styleId="FollowedHyperlink">
    <w:name w:val="FollowedHyperlink"/>
    <w:basedOn w:val="DefaultParagraphFont"/>
    <w:uiPriority w:val="99"/>
    <w:semiHidden/>
    <w:unhideWhenUsed/>
    <w:rsid w:val="00531C9F"/>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531C9F"/>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531C9F"/>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531C9F"/>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531C9F"/>
    <w:rPr>
      <w:rFonts w:ascii="Times New Roman" w:eastAsia="Times New Roman" w:hAnsi="Times New Roman" w:cs="Times New Roman"/>
      <w:b/>
      <w:bCs/>
      <w:sz w:val="20"/>
      <w:szCs w:val="20"/>
    </w:rPr>
  </w:style>
  <w:style w:type="numbering" w:customStyle="1" w:styleId="NoList1">
    <w:name w:val="No List1"/>
    <w:next w:val="NoList"/>
    <w:uiPriority w:val="99"/>
    <w:semiHidden/>
    <w:unhideWhenUsed/>
    <w:rsid w:val="00531C9F"/>
  </w:style>
  <w:style w:type="character" w:customStyle="1" w:styleId="mps2id-t">
    <w:name w:val="_mps2id-t"/>
    <w:basedOn w:val="DefaultParagraphFont"/>
    <w:rsid w:val="00531C9F"/>
  </w:style>
  <w:style w:type="paragraph" w:styleId="NormalWeb">
    <w:name w:val="Normal (Web)"/>
    <w:basedOn w:val="Normal"/>
    <w:uiPriority w:val="99"/>
    <w:semiHidden/>
    <w:unhideWhenUsed/>
    <w:rsid w:val="00531C9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31C9F"/>
    <w:rPr>
      <w:b/>
      <w:bCs/>
    </w:rPr>
  </w:style>
  <w:style w:type="character" w:styleId="Emphasis">
    <w:name w:val="Emphasis"/>
    <w:basedOn w:val="DefaultParagraphFont"/>
    <w:uiPriority w:val="20"/>
    <w:qFormat/>
    <w:rsid w:val="00531C9F"/>
    <w:rPr>
      <w:i/>
      <w:iCs/>
    </w:rPr>
  </w:style>
  <w:style w:type="character" w:customStyle="1" w:styleId="datatablessorticon">
    <w:name w:val="datatables_sort_icon"/>
    <w:basedOn w:val="DefaultParagraphFont"/>
    <w:rsid w:val="00531C9F"/>
  </w:style>
  <w:style w:type="character" w:styleId="Hyperlink">
    <w:name w:val="Hyperlink"/>
    <w:basedOn w:val="DefaultParagraphFont"/>
    <w:uiPriority w:val="99"/>
    <w:semiHidden/>
    <w:unhideWhenUsed/>
    <w:rsid w:val="00531C9F"/>
    <w:rPr>
      <w:color w:val="0000FF"/>
      <w:u w:val="single"/>
    </w:rPr>
  </w:style>
  <w:style w:type="character" w:styleId="FollowedHyperlink">
    <w:name w:val="FollowedHyperlink"/>
    <w:basedOn w:val="DefaultParagraphFont"/>
    <w:uiPriority w:val="99"/>
    <w:semiHidden/>
    <w:unhideWhenUsed/>
    <w:rsid w:val="00531C9F"/>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4925813">
      <w:bodyDiv w:val="1"/>
      <w:marLeft w:val="0"/>
      <w:marRight w:val="0"/>
      <w:marTop w:val="0"/>
      <w:marBottom w:val="0"/>
      <w:divBdr>
        <w:top w:val="none" w:sz="0" w:space="0" w:color="auto"/>
        <w:left w:val="none" w:sz="0" w:space="0" w:color="auto"/>
        <w:bottom w:val="none" w:sz="0" w:space="0" w:color="auto"/>
        <w:right w:val="none" w:sz="0" w:space="0" w:color="auto"/>
      </w:divBdr>
      <w:divsChild>
        <w:div w:id="1932547523">
          <w:marLeft w:val="0"/>
          <w:marRight w:val="0"/>
          <w:marTop w:val="0"/>
          <w:marBottom w:val="0"/>
          <w:divBdr>
            <w:top w:val="none" w:sz="0" w:space="0" w:color="auto"/>
            <w:left w:val="none" w:sz="0" w:space="0" w:color="auto"/>
            <w:bottom w:val="none" w:sz="0" w:space="0" w:color="auto"/>
            <w:right w:val="none" w:sz="0" w:space="0" w:color="auto"/>
          </w:divBdr>
          <w:divsChild>
            <w:div w:id="357121698">
              <w:marLeft w:val="0"/>
              <w:marRight w:val="0"/>
              <w:marTop w:val="0"/>
              <w:marBottom w:val="0"/>
              <w:divBdr>
                <w:top w:val="none" w:sz="0" w:space="0" w:color="auto"/>
                <w:left w:val="none" w:sz="0" w:space="0" w:color="auto"/>
                <w:bottom w:val="none" w:sz="0" w:space="0" w:color="auto"/>
                <w:right w:val="none" w:sz="0" w:space="0" w:color="auto"/>
              </w:divBdr>
              <w:divsChild>
                <w:div w:id="1245140495">
                  <w:marLeft w:val="0"/>
                  <w:marRight w:val="0"/>
                  <w:marTop w:val="0"/>
                  <w:marBottom w:val="0"/>
                  <w:divBdr>
                    <w:top w:val="none" w:sz="0" w:space="0" w:color="auto"/>
                    <w:left w:val="none" w:sz="0" w:space="0" w:color="auto"/>
                    <w:bottom w:val="none" w:sz="0" w:space="0" w:color="auto"/>
                    <w:right w:val="none" w:sz="0" w:space="0" w:color="auto"/>
                  </w:divBdr>
                  <w:divsChild>
                    <w:div w:id="1252470646">
                      <w:marLeft w:val="0"/>
                      <w:marRight w:val="0"/>
                      <w:marTop w:val="0"/>
                      <w:marBottom w:val="0"/>
                      <w:divBdr>
                        <w:top w:val="none" w:sz="0" w:space="0" w:color="auto"/>
                        <w:left w:val="none" w:sz="0" w:space="0" w:color="auto"/>
                        <w:bottom w:val="none" w:sz="0" w:space="0" w:color="auto"/>
                        <w:right w:val="none" w:sz="0" w:space="0" w:color="auto"/>
                      </w:divBdr>
                      <w:divsChild>
                        <w:div w:id="306009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5865081">
      <w:bodyDiv w:val="1"/>
      <w:marLeft w:val="0"/>
      <w:marRight w:val="0"/>
      <w:marTop w:val="0"/>
      <w:marBottom w:val="0"/>
      <w:divBdr>
        <w:top w:val="none" w:sz="0" w:space="0" w:color="auto"/>
        <w:left w:val="none" w:sz="0" w:space="0" w:color="auto"/>
        <w:bottom w:val="none" w:sz="0" w:space="0" w:color="auto"/>
        <w:right w:val="none" w:sz="0" w:space="0" w:color="auto"/>
      </w:divBdr>
      <w:divsChild>
        <w:div w:id="538666580">
          <w:marLeft w:val="0"/>
          <w:marRight w:val="0"/>
          <w:marTop w:val="0"/>
          <w:marBottom w:val="0"/>
          <w:divBdr>
            <w:top w:val="none" w:sz="0" w:space="0" w:color="auto"/>
            <w:left w:val="none" w:sz="0" w:space="0" w:color="auto"/>
            <w:bottom w:val="none" w:sz="0" w:space="0" w:color="auto"/>
            <w:right w:val="none" w:sz="0" w:space="0" w:color="auto"/>
          </w:divBdr>
          <w:divsChild>
            <w:div w:id="1838687993">
              <w:marLeft w:val="0"/>
              <w:marRight w:val="0"/>
              <w:marTop w:val="0"/>
              <w:marBottom w:val="0"/>
              <w:divBdr>
                <w:top w:val="none" w:sz="0" w:space="0" w:color="auto"/>
                <w:left w:val="none" w:sz="0" w:space="0" w:color="auto"/>
                <w:bottom w:val="none" w:sz="0" w:space="0" w:color="auto"/>
                <w:right w:val="none" w:sz="0" w:space="0" w:color="auto"/>
              </w:divBdr>
              <w:divsChild>
                <w:div w:id="443773643">
                  <w:marLeft w:val="0"/>
                  <w:marRight w:val="0"/>
                  <w:marTop w:val="0"/>
                  <w:marBottom w:val="0"/>
                  <w:divBdr>
                    <w:top w:val="none" w:sz="0" w:space="0" w:color="auto"/>
                    <w:left w:val="none" w:sz="0" w:space="0" w:color="auto"/>
                    <w:bottom w:val="none" w:sz="0" w:space="0" w:color="auto"/>
                    <w:right w:val="none" w:sz="0" w:space="0" w:color="auto"/>
                  </w:divBdr>
                  <w:divsChild>
                    <w:div w:id="137698258">
                      <w:marLeft w:val="0"/>
                      <w:marRight w:val="0"/>
                      <w:marTop w:val="0"/>
                      <w:marBottom w:val="0"/>
                      <w:divBdr>
                        <w:top w:val="none" w:sz="0" w:space="0" w:color="auto"/>
                        <w:left w:val="none" w:sz="0" w:space="0" w:color="auto"/>
                        <w:bottom w:val="none" w:sz="0" w:space="0" w:color="auto"/>
                        <w:right w:val="none" w:sz="0" w:space="0" w:color="auto"/>
                      </w:divBdr>
                      <w:divsChild>
                        <w:div w:id="1732847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2145703">
          <w:marLeft w:val="0"/>
          <w:marRight w:val="0"/>
          <w:marTop w:val="0"/>
          <w:marBottom w:val="0"/>
          <w:divBdr>
            <w:top w:val="none" w:sz="0" w:space="0" w:color="auto"/>
            <w:left w:val="none" w:sz="0" w:space="0" w:color="auto"/>
            <w:bottom w:val="none" w:sz="0" w:space="0" w:color="auto"/>
            <w:right w:val="none" w:sz="0" w:space="0" w:color="auto"/>
          </w:divBdr>
          <w:divsChild>
            <w:div w:id="851146790">
              <w:marLeft w:val="0"/>
              <w:marRight w:val="0"/>
              <w:marTop w:val="0"/>
              <w:marBottom w:val="0"/>
              <w:divBdr>
                <w:top w:val="none" w:sz="0" w:space="0" w:color="auto"/>
                <w:left w:val="none" w:sz="0" w:space="0" w:color="auto"/>
                <w:bottom w:val="none" w:sz="0" w:space="0" w:color="auto"/>
                <w:right w:val="none" w:sz="0" w:space="0" w:color="auto"/>
              </w:divBdr>
              <w:divsChild>
                <w:div w:id="844518831">
                  <w:marLeft w:val="0"/>
                  <w:marRight w:val="0"/>
                  <w:marTop w:val="0"/>
                  <w:marBottom w:val="0"/>
                  <w:divBdr>
                    <w:top w:val="none" w:sz="0" w:space="0" w:color="auto"/>
                    <w:left w:val="none" w:sz="0" w:space="0" w:color="auto"/>
                    <w:bottom w:val="none" w:sz="0" w:space="0" w:color="auto"/>
                    <w:right w:val="none" w:sz="0" w:space="0" w:color="auto"/>
                  </w:divBdr>
                  <w:divsChild>
                    <w:div w:id="754714094">
                      <w:marLeft w:val="0"/>
                      <w:marRight w:val="0"/>
                      <w:marTop w:val="0"/>
                      <w:marBottom w:val="0"/>
                      <w:divBdr>
                        <w:top w:val="none" w:sz="0" w:space="0" w:color="auto"/>
                        <w:left w:val="none" w:sz="0" w:space="0" w:color="auto"/>
                        <w:bottom w:val="none" w:sz="0" w:space="0" w:color="auto"/>
                        <w:right w:val="none" w:sz="0" w:space="0" w:color="auto"/>
                      </w:divBdr>
                      <w:divsChild>
                        <w:div w:id="145995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5050983">
          <w:marLeft w:val="0"/>
          <w:marRight w:val="0"/>
          <w:marTop w:val="0"/>
          <w:marBottom w:val="0"/>
          <w:divBdr>
            <w:top w:val="none" w:sz="0" w:space="0" w:color="auto"/>
            <w:left w:val="none" w:sz="0" w:space="0" w:color="auto"/>
            <w:bottom w:val="none" w:sz="0" w:space="0" w:color="auto"/>
            <w:right w:val="none" w:sz="0" w:space="0" w:color="auto"/>
          </w:divBdr>
          <w:divsChild>
            <w:div w:id="824932582">
              <w:marLeft w:val="0"/>
              <w:marRight w:val="0"/>
              <w:marTop w:val="0"/>
              <w:marBottom w:val="0"/>
              <w:divBdr>
                <w:top w:val="none" w:sz="0" w:space="0" w:color="auto"/>
                <w:left w:val="none" w:sz="0" w:space="0" w:color="auto"/>
                <w:bottom w:val="none" w:sz="0" w:space="0" w:color="auto"/>
                <w:right w:val="none" w:sz="0" w:space="0" w:color="auto"/>
              </w:divBdr>
              <w:divsChild>
                <w:div w:id="1423407657">
                  <w:marLeft w:val="0"/>
                  <w:marRight w:val="0"/>
                  <w:marTop w:val="0"/>
                  <w:marBottom w:val="0"/>
                  <w:divBdr>
                    <w:top w:val="none" w:sz="0" w:space="0" w:color="auto"/>
                    <w:left w:val="none" w:sz="0" w:space="0" w:color="auto"/>
                    <w:bottom w:val="none" w:sz="0" w:space="0" w:color="auto"/>
                    <w:right w:val="none" w:sz="0" w:space="0" w:color="auto"/>
                  </w:divBdr>
                  <w:divsChild>
                    <w:div w:id="1855222792">
                      <w:marLeft w:val="0"/>
                      <w:marRight w:val="0"/>
                      <w:marTop w:val="0"/>
                      <w:marBottom w:val="0"/>
                      <w:divBdr>
                        <w:top w:val="none" w:sz="0" w:space="0" w:color="auto"/>
                        <w:left w:val="none" w:sz="0" w:space="0" w:color="auto"/>
                        <w:bottom w:val="none" w:sz="0" w:space="0" w:color="auto"/>
                        <w:right w:val="none" w:sz="0" w:space="0" w:color="auto"/>
                      </w:divBdr>
                      <w:divsChild>
                        <w:div w:id="1787580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3160980">
          <w:marLeft w:val="0"/>
          <w:marRight w:val="0"/>
          <w:marTop w:val="0"/>
          <w:marBottom w:val="0"/>
          <w:divBdr>
            <w:top w:val="none" w:sz="0" w:space="0" w:color="auto"/>
            <w:left w:val="none" w:sz="0" w:space="0" w:color="auto"/>
            <w:bottom w:val="none" w:sz="0" w:space="0" w:color="auto"/>
            <w:right w:val="none" w:sz="0" w:space="0" w:color="auto"/>
          </w:divBdr>
          <w:divsChild>
            <w:div w:id="1491602624">
              <w:marLeft w:val="0"/>
              <w:marRight w:val="0"/>
              <w:marTop w:val="0"/>
              <w:marBottom w:val="0"/>
              <w:divBdr>
                <w:top w:val="none" w:sz="0" w:space="0" w:color="auto"/>
                <w:left w:val="none" w:sz="0" w:space="0" w:color="auto"/>
                <w:bottom w:val="none" w:sz="0" w:space="0" w:color="auto"/>
                <w:right w:val="none" w:sz="0" w:space="0" w:color="auto"/>
              </w:divBdr>
              <w:divsChild>
                <w:div w:id="1071848269">
                  <w:marLeft w:val="0"/>
                  <w:marRight w:val="0"/>
                  <w:marTop w:val="0"/>
                  <w:marBottom w:val="0"/>
                  <w:divBdr>
                    <w:top w:val="none" w:sz="0" w:space="0" w:color="auto"/>
                    <w:left w:val="none" w:sz="0" w:space="0" w:color="auto"/>
                    <w:bottom w:val="none" w:sz="0" w:space="0" w:color="auto"/>
                    <w:right w:val="none" w:sz="0" w:space="0" w:color="auto"/>
                  </w:divBdr>
                  <w:divsChild>
                    <w:div w:id="1865633208">
                      <w:marLeft w:val="0"/>
                      <w:marRight w:val="0"/>
                      <w:marTop w:val="0"/>
                      <w:marBottom w:val="0"/>
                      <w:divBdr>
                        <w:top w:val="none" w:sz="0" w:space="0" w:color="auto"/>
                        <w:left w:val="none" w:sz="0" w:space="0" w:color="auto"/>
                        <w:bottom w:val="none" w:sz="0" w:space="0" w:color="auto"/>
                        <w:right w:val="none" w:sz="0" w:space="0" w:color="auto"/>
                      </w:divBdr>
                      <w:divsChild>
                        <w:div w:id="7047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8599412">
          <w:marLeft w:val="0"/>
          <w:marRight w:val="0"/>
          <w:marTop w:val="0"/>
          <w:marBottom w:val="0"/>
          <w:divBdr>
            <w:top w:val="none" w:sz="0" w:space="0" w:color="auto"/>
            <w:left w:val="none" w:sz="0" w:space="0" w:color="auto"/>
            <w:bottom w:val="none" w:sz="0" w:space="0" w:color="auto"/>
            <w:right w:val="none" w:sz="0" w:space="0" w:color="auto"/>
          </w:divBdr>
          <w:divsChild>
            <w:div w:id="1024938423">
              <w:marLeft w:val="0"/>
              <w:marRight w:val="0"/>
              <w:marTop w:val="0"/>
              <w:marBottom w:val="0"/>
              <w:divBdr>
                <w:top w:val="none" w:sz="0" w:space="0" w:color="auto"/>
                <w:left w:val="none" w:sz="0" w:space="0" w:color="auto"/>
                <w:bottom w:val="none" w:sz="0" w:space="0" w:color="auto"/>
                <w:right w:val="none" w:sz="0" w:space="0" w:color="auto"/>
              </w:divBdr>
              <w:divsChild>
                <w:div w:id="774521996">
                  <w:marLeft w:val="0"/>
                  <w:marRight w:val="0"/>
                  <w:marTop w:val="0"/>
                  <w:marBottom w:val="0"/>
                  <w:divBdr>
                    <w:top w:val="none" w:sz="0" w:space="0" w:color="auto"/>
                    <w:left w:val="none" w:sz="0" w:space="0" w:color="auto"/>
                    <w:bottom w:val="none" w:sz="0" w:space="0" w:color="auto"/>
                    <w:right w:val="none" w:sz="0" w:space="0" w:color="auto"/>
                  </w:divBdr>
                  <w:divsChild>
                    <w:div w:id="134875455">
                      <w:marLeft w:val="0"/>
                      <w:marRight w:val="0"/>
                      <w:marTop w:val="0"/>
                      <w:marBottom w:val="0"/>
                      <w:divBdr>
                        <w:top w:val="none" w:sz="0" w:space="0" w:color="auto"/>
                        <w:left w:val="none" w:sz="0" w:space="0" w:color="auto"/>
                        <w:bottom w:val="none" w:sz="0" w:space="0" w:color="auto"/>
                        <w:right w:val="none" w:sz="0" w:space="0" w:color="auto"/>
                      </w:divBdr>
                      <w:divsChild>
                        <w:div w:id="1558541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8228433">
          <w:marLeft w:val="0"/>
          <w:marRight w:val="0"/>
          <w:marTop w:val="0"/>
          <w:marBottom w:val="0"/>
          <w:divBdr>
            <w:top w:val="none" w:sz="0" w:space="0" w:color="auto"/>
            <w:left w:val="none" w:sz="0" w:space="0" w:color="auto"/>
            <w:bottom w:val="none" w:sz="0" w:space="0" w:color="auto"/>
            <w:right w:val="none" w:sz="0" w:space="0" w:color="auto"/>
          </w:divBdr>
          <w:divsChild>
            <w:div w:id="1015306426">
              <w:marLeft w:val="0"/>
              <w:marRight w:val="0"/>
              <w:marTop w:val="0"/>
              <w:marBottom w:val="0"/>
              <w:divBdr>
                <w:top w:val="none" w:sz="0" w:space="0" w:color="auto"/>
                <w:left w:val="none" w:sz="0" w:space="0" w:color="auto"/>
                <w:bottom w:val="none" w:sz="0" w:space="0" w:color="auto"/>
                <w:right w:val="none" w:sz="0" w:space="0" w:color="auto"/>
              </w:divBdr>
              <w:divsChild>
                <w:div w:id="510144877">
                  <w:marLeft w:val="0"/>
                  <w:marRight w:val="0"/>
                  <w:marTop w:val="0"/>
                  <w:marBottom w:val="0"/>
                  <w:divBdr>
                    <w:top w:val="none" w:sz="0" w:space="0" w:color="auto"/>
                    <w:left w:val="none" w:sz="0" w:space="0" w:color="auto"/>
                    <w:bottom w:val="none" w:sz="0" w:space="0" w:color="auto"/>
                    <w:right w:val="none" w:sz="0" w:space="0" w:color="auto"/>
                  </w:divBdr>
                  <w:divsChild>
                    <w:div w:id="625309026">
                      <w:marLeft w:val="0"/>
                      <w:marRight w:val="0"/>
                      <w:marTop w:val="0"/>
                      <w:marBottom w:val="0"/>
                      <w:divBdr>
                        <w:top w:val="none" w:sz="0" w:space="0" w:color="auto"/>
                        <w:left w:val="none" w:sz="0" w:space="0" w:color="auto"/>
                        <w:bottom w:val="none" w:sz="0" w:space="0" w:color="auto"/>
                        <w:right w:val="none" w:sz="0" w:space="0" w:color="auto"/>
                      </w:divBdr>
                      <w:divsChild>
                        <w:div w:id="403114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4988293">
          <w:marLeft w:val="0"/>
          <w:marRight w:val="0"/>
          <w:marTop w:val="0"/>
          <w:marBottom w:val="0"/>
          <w:divBdr>
            <w:top w:val="none" w:sz="0" w:space="0" w:color="auto"/>
            <w:left w:val="none" w:sz="0" w:space="0" w:color="auto"/>
            <w:bottom w:val="none" w:sz="0" w:space="0" w:color="auto"/>
            <w:right w:val="none" w:sz="0" w:space="0" w:color="auto"/>
          </w:divBdr>
          <w:divsChild>
            <w:div w:id="1887523373">
              <w:marLeft w:val="0"/>
              <w:marRight w:val="0"/>
              <w:marTop w:val="0"/>
              <w:marBottom w:val="0"/>
              <w:divBdr>
                <w:top w:val="none" w:sz="0" w:space="0" w:color="auto"/>
                <w:left w:val="none" w:sz="0" w:space="0" w:color="auto"/>
                <w:bottom w:val="none" w:sz="0" w:space="0" w:color="auto"/>
                <w:right w:val="none" w:sz="0" w:space="0" w:color="auto"/>
              </w:divBdr>
              <w:divsChild>
                <w:div w:id="572130767">
                  <w:marLeft w:val="0"/>
                  <w:marRight w:val="0"/>
                  <w:marTop w:val="0"/>
                  <w:marBottom w:val="0"/>
                  <w:divBdr>
                    <w:top w:val="none" w:sz="0" w:space="0" w:color="auto"/>
                    <w:left w:val="none" w:sz="0" w:space="0" w:color="auto"/>
                    <w:bottom w:val="none" w:sz="0" w:space="0" w:color="auto"/>
                    <w:right w:val="none" w:sz="0" w:space="0" w:color="auto"/>
                  </w:divBdr>
                  <w:divsChild>
                    <w:div w:id="979842993">
                      <w:marLeft w:val="0"/>
                      <w:marRight w:val="0"/>
                      <w:marTop w:val="0"/>
                      <w:marBottom w:val="0"/>
                      <w:divBdr>
                        <w:top w:val="none" w:sz="0" w:space="0" w:color="auto"/>
                        <w:left w:val="none" w:sz="0" w:space="0" w:color="auto"/>
                        <w:bottom w:val="none" w:sz="0" w:space="0" w:color="auto"/>
                        <w:right w:val="none" w:sz="0" w:space="0" w:color="auto"/>
                      </w:divBdr>
                      <w:divsChild>
                        <w:div w:id="1170100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0616569">
          <w:marLeft w:val="0"/>
          <w:marRight w:val="0"/>
          <w:marTop w:val="0"/>
          <w:marBottom w:val="0"/>
          <w:divBdr>
            <w:top w:val="none" w:sz="0" w:space="0" w:color="auto"/>
            <w:left w:val="none" w:sz="0" w:space="0" w:color="auto"/>
            <w:bottom w:val="none" w:sz="0" w:space="0" w:color="auto"/>
            <w:right w:val="none" w:sz="0" w:space="0" w:color="auto"/>
          </w:divBdr>
          <w:divsChild>
            <w:div w:id="36781003">
              <w:marLeft w:val="0"/>
              <w:marRight w:val="0"/>
              <w:marTop w:val="0"/>
              <w:marBottom w:val="0"/>
              <w:divBdr>
                <w:top w:val="none" w:sz="0" w:space="0" w:color="auto"/>
                <w:left w:val="none" w:sz="0" w:space="0" w:color="auto"/>
                <w:bottom w:val="none" w:sz="0" w:space="0" w:color="auto"/>
                <w:right w:val="none" w:sz="0" w:space="0" w:color="auto"/>
              </w:divBdr>
              <w:divsChild>
                <w:div w:id="1144396678">
                  <w:marLeft w:val="0"/>
                  <w:marRight w:val="0"/>
                  <w:marTop w:val="0"/>
                  <w:marBottom w:val="0"/>
                  <w:divBdr>
                    <w:top w:val="none" w:sz="0" w:space="0" w:color="auto"/>
                    <w:left w:val="none" w:sz="0" w:space="0" w:color="auto"/>
                    <w:bottom w:val="none" w:sz="0" w:space="0" w:color="auto"/>
                    <w:right w:val="none" w:sz="0" w:space="0" w:color="auto"/>
                  </w:divBdr>
                  <w:divsChild>
                    <w:div w:id="1797601857">
                      <w:marLeft w:val="0"/>
                      <w:marRight w:val="0"/>
                      <w:marTop w:val="0"/>
                      <w:marBottom w:val="0"/>
                      <w:divBdr>
                        <w:top w:val="none" w:sz="0" w:space="0" w:color="auto"/>
                        <w:left w:val="none" w:sz="0" w:space="0" w:color="auto"/>
                        <w:bottom w:val="none" w:sz="0" w:space="0" w:color="auto"/>
                        <w:right w:val="none" w:sz="0" w:space="0" w:color="auto"/>
                      </w:divBdr>
                      <w:divsChild>
                        <w:div w:id="1010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000439">
          <w:marLeft w:val="0"/>
          <w:marRight w:val="0"/>
          <w:marTop w:val="0"/>
          <w:marBottom w:val="0"/>
          <w:divBdr>
            <w:top w:val="none" w:sz="0" w:space="0" w:color="auto"/>
            <w:left w:val="none" w:sz="0" w:space="0" w:color="auto"/>
            <w:bottom w:val="none" w:sz="0" w:space="0" w:color="auto"/>
            <w:right w:val="none" w:sz="0" w:space="0" w:color="auto"/>
          </w:divBdr>
          <w:divsChild>
            <w:div w:id="592056087">
              <w:marLeft w:val="0"/>
              <w:marRight w:val="0"/>
              <w:marTop w:val="0"/>
              <w:marBottom w:val="0"/>
              <w:divBdr>
                <w:top w:val="none" w:sz="0" w:space="0" w:color="auto"/>
                <w:left w:val="none" w:sz="0" w:space="0" w:color="auto"/>
                <w:bottom w:val="none" w:sz="0" w:space="0" w:color="auto"/>
                <w:right w:val="none" w:sz="0" w:space="0" w:color="auto"/>
              </w:divBdr>
              <w:divsChild>
                <w:div w:id="450367497">
                  <w:marLeft w:val="0"/>
                  <w:marRight w:val="0"/>
                  <w:marTop w:val="0"/>
                  <w:marBottom w:val="0"/>
                  <w:divBdr>
                    <w:top w:val="none" w:sz="0" w:space="0" w:color="auto"/>
                    <w:left w:val="none" w:sz="0" w:space="0" w:color="auto"/>
                    <w:bottom w:val="none" w:sz="0" w:space="0" w:color="auto"/>
                    <w:right w:val="none" w:sz="0" w:space="0" w:color="auto"/>
                  </w:divBdr>
                  <w:divsChild>
                    <w:div w:id="1091196842">
                      <w:marLeft w:val="0"/>
                      <w:marRight w:val="0"/>
                      <w:marTop w:val="0"/>
                      <w:marBottom w:val="0"/>
                      <w:divBdr>
                        <w:top w:val="none" w:sz="0" w:space="0" w:color="auto"/>
                        <w:left w:val="none" w:sz="0" w:space="0" w:color="auto"/>
                        <w:bottom w:val="none" w:sz="0" w:space="0" w:color="auto"/>
                        <w:right w:val="none" w:sz="0" w:space="0" w:color="auto"/>
                      </w:divBdr>
                      <w:divsChild>
                        <w:div w:id="108476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7941630">
          <w:marLeft w:val="0"/>
          <w:marRight w:val="0"/>
          <w:marTop w:val="0"/>
          <w:marBottom w:val="0"/>
          <w:divBdr>
            <w:top w:val="none" w:sz="0" w:space="0" w:color="auto"/>
            <w:left w:val="none" w:sz="0" w:space="0" w:color="auto"/>
            <w:bottom w:val="none" w:sz="0" w:space="0" w:color="auto"/>
            <w:right w:val="none" w:sz="0" w:space="0" w:color="auto"/>
          </w:divBdr>
          <w:divsChild>
            <w:div w:id="1556238230">
              <w:marLeft w:val="0"/>
              <w:marRight w:val="0"/>
              <w:marTop w:val="0"/>
              <w:marBottom w:val="0"/>
              <w:divBdr>
                <w:top w:val="none" w:sz="0" w:space="0" w:color="auto"/>
                <w:left w:val="none" w:sz="0" w:space="0" w:color="auto"/>
                <w:bottom w:val="none" w:sz="0" w:space="0" w:color="auto"/>
                <w:right w:val="none" w:sz="0" w:space="0" w:color="auto"/>
              </w:divBdr>
              <w:divsChild>
                <w:div w:id="1867406895">
                  <w:marLeft w:val="0"/>
                  <w:marRight w:val="0"/>
                  <w:marTop w:val="0"/>
                  <w:marBottom w:val="0"/>
                  <w:divBdr>
                    <w:top w:val="none" w:sz="0" w:space="0" w:color="auto"/>
                    <w:left w:val="none" w:sz="0" w:space="0" w:color="auto"/>
                    <w:bottom w:val="none" w:sz="0" w:space="0" w:color="auto"/>
                    <w:right w:val="none" w:sz="0" w:space="0" w:color="auto"/>
                  </w:divBdr>
                  <w:divsChild>
                    <w:div w:id="477843906">
                      <w:marLeft w:val="0"/>
                      <w:marRight w:val="0"/>
                      <w:marTop w:val="0"/>
                      <w:marBottom w:val="0"/>
                      <w:divBdr>
                        <w:top w:val="none" w:sz="0" w:space="0" w:color="auto"/>
                        <w:left w:val="none" w:sz="0" w:space="0" w:color="auto"/>
                        <w:bottom w:val="none" w:sz="0" w:space="0" w:color="auto"/>
                        <w:right w:val="none" w:sz="0" w:space="0" w:color="auto"/>
                      </w:divBdr>
                      <w:divsChild>
                        <w:div w:id="2064254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8050052">
          <w:marLeft w:val="0"/>
          <w:marRight w:val="0"/>
          <w:marTop w:val="0"/>
          <w:marBottom w:val="0"/>
          <w:divBdr>
            <w:top w:val="none" w:sz="0" w:space="0" w:color="auto"/>
            <w:left w:val="none" w:sz="0" w:space="0" w:color="auto"/>
            <w:bottom w:val="none" w:sz="0" w:space="0" w:color="auto"/>
            <w:right w:val="none" w:sz="0" w:space="0" w:color="auto"/>
          </w:divBdr>
          <w:divsChild>
            <w:div w:id="302083686">
              <w:marLeft w:val="0"/>
              <w:marRight w:val="0"/>
              <w:marTop w:val="0"/>
              <w:marBottom w:val="0"/>
              <w:divBdr>
                <w:top w:val="none" w:sz="0" w:space="0" w:color="auto"/>
                <w:left w:val="none" w:sz="0" w:space="0" w:color="auto"/>
                <w:bottom w:val="none" w:sz="0" w:space="0" w:color="auto"/>
                <w:right w:val="none" w:sz="0" w:space="0" w:color="auto"/>
              </w:divBdr>
              <w:divsChild>
                <w:div w:id="1096167334">
                  <w:marLeft w:val="0"/>
                  <w:marRight w:val="0"/>
                  <w:marTop w:val="0"/>
                  <w:marBottom w:val="0"/>
                  <w:divBdr>
                    <w:top w:val="none" w:sz="0" w:space="0" w:color="auto"/>
                    <w:left w:val="none" w:sz="0" w:space="0" w:color="auto"/>
                    <w:bottom w:val="none" w:sz="0" w:space="0" w:color="auto"/>
                    <w:right w:val="none" w:sz="0" w:space="0" w:color="auto"/>
                  </w:divBdr>
                  <w:divsChild>
                    <w:div w:id="1717269413">
                      <w:marLeft w:val="0"/>
                      <w:marRight w:val="0"/>
                      <w:marTop w:val="0"/>
                      <w:marBottom w:val="0"/>
                      <w:divBdr>
                        <w:top w:val="none" w:sz="0" w:space="0" w:color="auto"/>
                        <w:left w:val="none" w:sz="0" w:space="0" w:color="auto"/>
                        <w:bottom w:val="none" w:sz="0" w:space="0" w:color="auto"/>
                        <w:right w:val="none" w:sz="0" w:space="0" w:color="auto"/>
                      </w:divBdr>
                      <w:divsChild>
                        <w:div w:id="994843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7423165">
          <w:marLeft w:val="0"/>
          <w:marRight w:val="0"/>
          <w:marTop w:val="0"/>
          <w:marBottom w:val="0"/>
          <w:divBdr>
            <w:top w:val="none" w:sz="0" w:space="0" w:color="auto"/>
            <w:left w:val="none" w:sz="0" w:space="0" w:color="auto"/>
            <w:bottom w:val="none" w:sz="0" w:space="0" w:color="auto"/>
            <w:right w:val="none" w:sz="0" w:space="0" w:color="auto"/>
          </w:divBdr>
          <w:divsChild>
            <w:div w:id="720709738">
              <w:marLeft w:val="0"/>
              <w:marRight w:val="0"/>
              <w:marTop w:val="0"/>
              <w:marBottom w:val="0"/>
              <w:divBdr>
                <w:top w:val="none" w:sz="0" w:space="0" w:color="auto"/>
                <w:left w:val="none" w:sz="0" w:space="0" w:color="auto"/>
                <w:bottom w:val="none" w:sz="0" w:space="0" w:color="auto"/>
                <w:right w:val="none" w:sz="0" w:space="0" w:color="auto"/>
              </w:divBdr>
              <w:divsChild>
                <w:div w:id="1235242477">
                  <w:marLeft w:val="0"/>
                  <w:marRight w:val="0"/>
                  <w:marTop w:val="0"/>
                  <w:marBottom w:val="0"/>
                  <w:divBdr>
                    <w:top w:val="none" w:sz="0" w:space="0" w:color="auto"/>
                    <w:left w:val="none" w:sz="0" w:space="0" w:color="auto"/>
                    <w:bottom w:val="none" w:sz="0" w:space="0" w:color="auto"/>
                    <w:right w:val="none" w:sz="0" w:space="0" w:color="auto"/>
                  </w:divBdr>
                  <w:divsChild>
                    <w:div w:id="668675320">
                      <w:marLeft w:val="0"/>
                      <w:marRight w:val="0"/>
                      <w:marTop w:val="0"/>
                      <w:marBottom w:val="0"/>
                      <w:divBdr>
                        <w:top w:val="none" w:sz="0" w:space="0" w:color="auto"/>
                        <w:left w:val="none" w:sz="0" w:space="0" w:color="auto"/>
                        <w:bottom w:val="none" w:sz="0" w:space="0" w:color="auto"/>
                        <w:right w:val="none" w:sz="0" w:space="0" w:color="auto"/>
                      </w:divBdr>
                      <w:divsChild>
                        <w:div w:id="118497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4082661">
          <w:marLeft w:val="0"/>
          <w:marRight w:val="0"/>
          <w:marTop w:val="0"/>
          <w:marBottom w:val="0"/>
          <w:divBdr>
            <w:top w:val="none" w:sz="0" w:space="0" w:color="auto"/>
            <w:left w:val="none" w:sz="0" w:space="0" w:color="auto"/>
            <w:bottom w:val="none" w:sz="0" w:space="0" w:color="auto"/>
            <w:right w:val="none" w:sz="0" w:space="0" w:color="auto"/>
          </w:divBdr>
          <w:divsChild>
            <w:div w:id="96218318">
              <w:marLeft w:val="0"/>
              <w:marRight w:val="0"/>
              <w:marTop w:val="0"/>
              <w:marBottom w:val="0"/>
              <w:divBdr>
                <w:top w:val="none" w:sz="0" w:space="0" w:color="auto"/>
                <w:left w:val="none" w:sz="0" w:space="0" w:color="auto"/>
                <w:bottom w:val="none" w:sz="0" w:space="0" w:color="auto"/>
                <w:right w:val="none" w:sz="0" w:space="0" w:color="auto"/>
              </w:divBdr>
              <w:divsChild>
                <w:div w:id="1311329789">
                  <w:marLeft w:val="0"/>
                  <w:marRight w:val="0"/>
                  <w:marTop w:val="0"/>
                  <w:marBottom w:val="0"/>
                  <w:divBdr>
                    <w:top w:val="none" w:sz="0" w:space="0" w:color="auto"/>
                    <w:left w:val="none" w:sz="0" w:space="0" w:color="auto"/>
                    <w:bottom w:val="none" w:sz="0" w:space="0" w:color="auto"/>
                    <w:right w:val="none" w:sz="0" w:space="0" w:color="auto"/>
                  </w:divBdr>
                  <w:divsChild>
                    <w:div w:id="1197237534">
                      <w:marLeft w:val="0"/>
                      <w:marRight w:val="0"/>
                      <w:marTop w:val="0"/>
                      <w:marBottom w:val="0"/>
                      <w:divBdr>
                        <w:top w:val="none" w:sz="0" w:space="0" w:color="auto"/>
                        <w:left w:val="none" w:sz="0" w:space="0" w:color="auto"/>
                        <w:bottom w:val="none" w:sz="0" w:space="0" w:color="auto"/>
                        <w:right w:val="none" w:sz="0" w:space="0" w:color="auto"/>
                      </w:divBdr>
                      <w:divsChild>
                        <w:div w:id="2043818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4331010">
          <w:marLeft w:val="0"/>
          <w:marRight w:val="0"/>
          <w:marTop w:val="0"/>
          <w:marBottom w:val="0"/>
          <w:divBdr>
            <w:top w:val="none" w:sz="0" w:space="0" w:color="auto"/>
            <w:left w:val="none" w:sz="0" w:space="0" w:color="auto"/>
            <w:bottom w:val="none" w:sz="0" w:space="0" w:color="auto"/>
            <w:right w:val="none" w:sz="0" w:space="0" w:color="auto"/>
          </w:divBdr>
          <w:divsChild>
            <w:div w:id="1691445590">
              <w:marLeft w:val="0"/>
              <w:marRight w:val="0"/>
              <w:marTop w:val="0"/>
              <w:marBottom w:val="0"/>
              <w:divBdr>
                <w:top w:val="none" w:sz="0" w:space="0" w:color="auto"/>
                <w:left w:val="none" w:sz="0" w:space="0" w:color="auto"/>
                <w:bottom w:val="none" w:sz="0" w:space="0" w:color="auto"/>
                <w:right w:val="none" w:sz="0" w:space="0" w:color="auto"/>
              </w:divBdr>
              <w:divsChild>
                <w:div w:id="1560510449">
                  <w:marLeft w:val="0"/>
                  <w:marRight w:val="0"/>
                  <w:marTop w:val="0"/>
                  <w:marBottom w:val="0"/>
                  <w:divBdr>
                    <w:top w:val="none" w:sz="0" w:space="0" w:color="auto"/>
                    <w:left w:val="none" w:sz="0" w:space="0" w:color="auto"/>
                    <w:bottom w:val="none" w:sz="0" w:space="0" w:color="auto"/>
                    <w:right w:val="none" w:sz="0" w:space="0" w:color="auto"/>
                  </w:divBdr>
                  <w:divsChild>
                    <w:div w:id="1768842156">
                      <w:marLeft w:val="0"/>
                      <w:marRight w:val="0"/>
                      <w:marTop w:val="0"/>
                      <w:marBottom w:val="0"/>
                      <w:divBdr>
                        <w:top w:val="none" w:sz="0" w:space="0" w:color="auto"/>
                        <w:left w:val="none" w:sz="0" w:space="0" w:color="auto"/>
                        <w:bottom w:val="none" w:sz="0" w:space="0" w:color="auto"/>
                        <w:right w:val="none" w:sz="0" w:space="0" w:color="auto"/>
                      </w:divBdr>
                      <w:divsChild>
                        <w:div w:id="468520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0405091">
          <w:marLeft w:val="0"/>
          <w:marRight w:val="0"/>
          <w:marTop w:val="0"/>
          <w:marBottom w:val="0"/>
          <w:divBdr>
            <w:top w:val="none" w:sz="0" w:space="0" w:color="auto"/>
            <w:left w:val="none" w:sz="0" w:space="0" w:color="auto"/>
            <w:bottom w:val="none" w:sz="0" w:space="0" w:color="auto"/>
            <w:right w:val="none" w:sz="0" w:space="0" w:color="auto"/>
          </w:divBdr>
          <w:divsChild>
            <w:div w:id="2051683507">
              <w:marLeft w:val="0"/>
              <w:marRight w:val="0"/>
              <w:marTop w:val="0"/>
              <w:marBottom w:val="0"/>
              <w:divBdr>
                <w:top w:val="none" w:sz="0" w:space="0" w:color="auto"/>
                <w:left w:val="none" w:sz="0" w:space="0" w:color="auto"/>
                <w:bottom w:val="none" w:sz="0" w:space="0" w:color="auto"/>
                <w:right w:val="none" w:sz="0" w:space="0" w:color="auto"/>
              </w:divBdr>
              <w:divsChild>
                <w:div w:id="1520270007">
                  <w:marLeft w:val="0"/>
                  <w:marRight w:val="0"/>
                  <w:marTop w:val="0"/>
                  <w:marBottom w:val="0"/>
                  <w:divBdr>
                    <w:top w:val="none" w:sz="0" w:space="0" w:color="auto"/>
                    <w:left w:val="none" w:sz="0" w:space="0" w:color="auto"/>
                    <w:bottom w:val="none" w:sz="0" w:space="0" w:color="auto"/>
                    <w:right w:val="none" w:sz="0" w:space="0" w:color="auto"/>
                  </w:divBdr>
                  <w:divsChild>
                    <w:div w:id="514735094">
                      <w:marLeft w:val="0"/>
                      <w:marRight w:val="0"/>
                      <w:marTop w:val="0"/>
                      <w:marBottom w:val="0"/>
                      <w:divBdr>
                        <w:top w:val="none" w:sz="0" w:space="0" w:color="auto"/>
                        <w:left w:val="none" w:sz="0" w:space="0" w:color="auto"/>
                        <w:bottom w:val="none" w:sz="0" w:space="0" w:color="auto"/>
                        <w:right w:val="none" w:sz="0" w:space="0" w:color="auto"/>
                      </w:divBdr>
                      <w:divsChild>
                        <w:div w:id="1322537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8621251">
          <w:marLeft w:val="0"/>
          <w:marRight w:val="0"/>
          <w:marTop w:val="0"/>
          <w:marBottom w:val="0"/>
          <w:divBdr>
            <w:top w:val="none" w:sz="0" w:space="0" w:color="auto"/>
            <w:left w:val="none" w:sz="0" w:space="0" w:color="auto"/>
            <w:bottom w:val="none" w:sz="0" w:space="0" w:color="auto"/>
            <w:right w:val="none" w:sz="0" w:space="0" w:color="auto"/>
          </w:divBdr>
          <w:divsChild>
            <w:div w:id="660622887">
              <w:marLeft w:val="0"/>
              <w:marRight w:val="0"/>
              <w:marTop w:val="0"/>
              <w:marBottom w:val="0"/>
              <w:divBdr>
                <w:top w:val="none" w:sz="0" w:space="0" w:color="auto"/>
                <w:left w:val="none" w:sz="0" w:space="0" w:color="auto"/>
                <w:bottom w:val="none" w:sz="0" w:space="0" w:color="auto"/>
                <w:right w:val="none" w:sz="0" w:space="0" w:color="auto"/>
              </w:divBdr>
              <w:divsChild>
                <w:div w:id="1324815592">
                  <w:marLeft w:val="0"/>
                  <w:marRight w:val="0"/>
                  <w:marTop w:val="0"/>
                  <w:marBottom w:val="0"/>
                  <w:divBdr>
                    <w:top w:val="none" w:sz="0" w:space="0" w:color="auto"/>
                    <w:left w:val="none" w:sz="0" w:space="0" w:color="auto"/>
                    <w:bottom w:val="none" w:sz="0" w:space="0" w:color="auto"/>
                    <w:right w:val="none" w:sz="0" w:space="0" w:color="auto"/>
                  </w:divBdr>
                  <w:divsChild>
                    <w:div w:id="884029077">
                      <w:marLeft w:val="0"/>
                      <w:marRight w:val="0"/>
                      <w:marTop w:val="0"/>
                      <w:marBottom w:val="0"/>
                      <w:divBdr>
                        <w:top w:val="none" w:sz="0" w:space="0" w:color="auto"/>
                        <w:left w:val="none" w:sz="0" w:space="0" w:color="auto"/>
                        <w:bottom w:val="none" w:sz="0" w:space="0" w:color="auto"/>
                        <w:right w:val="none" w:sz="0" w:space="0" w:color="auto"/>
                      </w:divBdr>
                      <w:divsChild>
                        <w:div w:id="2142650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2636240">
          <w:marLeft w:val="0"/>
          <w:marRight w:val="0"/>
          <w:marTop w:val="0"/>
          <w:marBottom w:val="0"/>
          <w:divBdr>
            <w:top w:val="none" w:sz="0" w:space="0" w:color="auto"/>
            <w:left w:val="none" w:sz="0" w:space="0" w:color="auto"/>
            <w:bottom w:val="none" w:sz="0" w:space="0" w:color="auto"/>
            <w:right w:val="none" w:sz="0" w:space="0" w:color="auto"/>
          </w:divBdr>
          <w:divsChild>
            <w:div w:id="767775704">
              <w:marLeft w:val="0"/>
              <w:marRight w:val="0"/>
              <w:marTop w:val="0"/>
              <w:marBottom w:val="0"/>
              <w:divBdr>
                <w:top w:val="none" w:sz="0" w:space="0" w:color="auto"/>
                <w:left w:val="none" w:sz="0" w:space="0" w:color="auto"/>
                <w:bottom w:val="none" w:sz="0" w:space="0" w:color="auto"/>
                <w:right w:val="none" w:sz="0" w:space="0" w:color="auto"/>
              </w:divBdr>
              <w:divsChild>
                <w:div w:id="414134480">
                  <w:marLeft w:val="0"/>
                  <w:marRight w:val="0"/>
                  <w:marTop w:val="0"/>
                  <w:marBottom w:val="0"/>
                  <w:divBdr>
                    <w:top w:val="none" w:sz="0" w:space="0" w:color="auto"/>
                    <w:left w:val="none" w:sz="0" w:space="0" w:color="auto"/>
                    <w:bottom w:val="none" w:sz="0" w:space="0" w:color="auto"/>
                    <w:right w:val="none" w:sz="0" w:space="0" w:color="auto"/>
                  </w:divBdr>
                  <w:divsChild>
                    <w:div w:id="645860718">
                      <w:marLeft w:val="0"/>
                      <w:marRight w:val="0"/>
                      <w:marTop w:val="0"/>
                      <w:marBottom w:val="0"/>
                      <w:divBdr>
                        <w:top w:val="none" w:sz="0" w:space="0" w:color="auto"/>
                        <w:left w:val="none" w:sz="0" w:space="0" w:color="auto"/>
                        <w:bottom w:val="none" w:sz="0" w:space="0" w:color="auto"/>
                        <w:right w:val="none" w:sz="0" w:space="0" w:color="auto"/>
                      </w:divBdr>
                      <w:divsChild>
                        <w:div w:id="2133864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1183891">
          <w:marLeft w:val="0"/>
          <w:marRight w:val="0"/>
          <w:marTop w:val="0"/>
          <w:marBottom w:val="0"/>
          <w:divBdr>
            <w:top w:val="none" w:sz="0" w:space="0" w:color="auto"/>
            <w:left w:val="none" w:sz="0" w:space="0" w:color="auto"/>
            <w:bottom w:val="none" w:sz="0" w:space="0" w:color="auto"/>
            <w:right w:val="none" w:sz="0" w:space="0" w:color="auto"/>
          </w:divBdr>
          <w:divsChild>
            <w:div w:id="49622795">
              <w:marLeft w:val="0"/>
              <w:marRight w:val="0"/>
              <w:marTop w:val="0"/>
              <w:marBottom w:val="0"/>
              <w:divBdr>
                <w:top w:val="none" w:sz="0" w:space="0" w:color="auto"/>
                <w:left w:val="none" w:sz="0" w:space="0" w:color="auto"/>
                <w:bottom w:val="none" w:sz="0" w:space="0" w:color="auto"/>
                <w:right w:val="none" w:sz="0" w:space="0" w:color="auto"/>
              </w:divBdr>
              <w:divsChild>
                <w:div w:id="324360612">
                  <w:marLeft w:val="0"/>
                  <w:marRight w:val="0"/>
                  <w:marTop w:val="0"/>
                  <w:marBottom w:val="0"/>
                  <w:divBdr>
                    <w:top w:val="none" w:sz="0" w:space="0" w:color="auto"/>
                    <w:left w:val="none" w:sz="0" w:space="0" w:color="auto"/>
                    <w:bottom w:val="none" w:sz="0" w:space="0" w:color="auto"/>
                    <w:right w:val="none" w:sz="0" w:space="0" w:color="auto"/>
                  </w:divBdr>
                  <w:divsChild>
                    <w:div w:id="1783307492">
                      <w:marLeft w:val="0"/>
                      <w:marRight w:val="0"/>
                      <w:marTop w:val="0"/>
                      <w:marBottom w:val="0"/>
                      <w:divBdr>
                        <w:top w:val="none" w:sz="0" w:space="0" w:color="auto"/>
                        <w:left w:val="none" w:sz="0" w:space="0" w:color="auto"/>
                        <w:bottom w:val="none" w:sz="0" w:space="0" w:color="auto"/>
                        <w:right w:val="none" w:sz="0" w:space="0" w:color="auto"/>
                      </w:divBdr>
                      <w:divsChild>
                        <w:div w:id="112927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314017">
          <w:marLeft w:val="0"/>
          <w:marRight w:val="0"/>
          <w:marTop w:val="0"/>
          <w:marBottom w:val="0"/>
          <w:divBdr>
            <w:top w:val="none" w:sz="0" w:space="0" w:color="auto"/>
            <w:left w:val="none" w:sz="0" w:space="0" w:color="auto"/>
            <w:bottom w:val="none" w:sz="0" w:space="0" w:color="auto"/>
            <w:right w:val="none" w:sz="0" w:space="0" w:color="auto"/>
          </w:divBdr>
          <w:divsChild>
            <w:div w:id="734744661">
              <w:marLeft w:val="0"/>
              <w:marRight w:val="0"/>
              <w:marTop w:val="0"/>
              <w:marBottom w:val="0"/>
              <w:divBdr>
                <w:top w:val="none" w:sz="0" w:space="0" w:color="auto"/>
                <w:left w:val="none" w:sz="0" w:space="0" w:color="auto"/>
                <w:bottom w:val="none" w:sz="0" w:space="0" w:color="auto"/>
                <w:right w:val="none" w:sz="0" w:space="0" w:color="auto"/>
              </w:divBdr>
              <w:divsChild>
                <w:div w:id="556478962">
                  <w:marLeft w:val="0"/>
                  <w:marRight w:val="0"/>
                  <w:marTop w:val="0"/>
                  <w:marBottom w:val="0"/>
                  <w:divBdr>
                    <w:top w:val="none" w:sz="0" w:space="0" w:color="auto"/>
                    <w:left w:val="none" w:sz="0" w:space="0" w:color="auto"/>
                    <w:bottom w:val="none" w:sz="0" w:space="0" w:color="auto"/>
                    <w:right w:val="none" w:sz="0" w:space="0" w:color="auto"/>
                  </w:divBdr>
                  <w:divsChild>
                    <w:div w:id="1530222525">
                      <w:marLeft w:val="0"/>
                      <w:marRight w:val="0"/>
                      <w:marTop w:val="0"/>
                      <w:marBottom w:val="0"/>
                      <w:divBdr>
                        <w:top w:val="none" w:sz="0" w:space="0" w:color="auto"/>
                        <w:left w:val="none" w:sz="0" w:space="0" w:color="auto"/>
                        <w:bottom w:val="none" w:sz="0" w:space="0" w:color="auto"/>
                        <w:right w:val="none" w:sz="0" w:space="0" w:color="auto"/>
                      </w:divBdr>
                      <w:divsChild>
                        <w:div w:id="213274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3159862">
          <w:marLeft w:val="0"/>
          <w:marRight w:val="0"/>
          <w:marTop w:val="0"/>
          <w:marBottom w:val="0"/>
          <w:divBdr>
            <w:top w:val="none" w:sz="0" w:space="0" w:color="auto"/>
            <w:left w:val="none" w:sz="0" w:space="0" w:color="auto"/>
            <w:bottom w:val="none" w:sz="0" w:space="0" w:color="auto"/>
            <w:right w:val="none" w:sz="0" w:space="0" w:color="auto"/>
          </w:divBdr>
          <w:divsChild>
            <w:div w:id="962462541">
              <w:marLeft w:val="0"/>
              <w:marRight w:val="0"/>
              <w:marTop w:val="0"/>
              <w:marBottom w:val="0"/>
              <w:divBdr>
                <w:top w:val="none" w:sz="0" w:space="0" w:color="auto"/>
                <w:left w:val="none" w:sz="0" w:space="0" w:color="auto"/>
                <w:bottom w:val="none" w:sz="0" w:space="0" w:color="auto"/>
                <w:right w:val="none" w:sz="0" w:space="0" w:color="auto"/>
              </w:divBdr>
              <w:divsChild>
                <w:div w:id="867336186">
                  <w:marLeft w:val="0"/>
                  <w:marRight w:val="0"/>
                  <w:marTop w:val="0"/>
                  <w:marBottom w:val="0"/>
                  <w:divBdr>
                    <w:top w:val="none" w:sz="0" w:space="0" w:color="auto"/>
                    <w:left w:val="none" w:sz="0" w:space="0" w:color="auto"/>
                    <w:bottom w:val="none" w:sz="0" w:space="0" w:color="auto"/>
                    <w:right w:val="none" w:sz="0" w:space="0" w:color="auto"/>
                  </w:divBdr>
                  <w:divsChild>
                    <w:div w:id="1945503788">
                      <w:marLeft w:val="0"/>
                      <w:marRight w:val="0"/>
                      <w:marTop w:val="0"/>
                      <w:marBottom w:val="0"/>
                      <w:divBdr>
                        <w:top w:val="none" w:sz="0" w:space="0" w:color="auto"/>
                        <w:left w:val="none" w:sz="0" w:space="0" w:color="auto"/>
                        <w:bottom w:val="none" w:sz="0" w:space="0" w:color="auto"/>
                        <w:right w:val="none" w:sz="0" w:space="0" w:color="auto"/>
                      </w:divBdr>
                      <w:divsChild>
                        <w:div w:id="1507983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eobilten.com/wp-content/uploads/2024/07/predlozena-unapredjenja-SEF-slika-2.jpg" TargetMode="External"/><Relationship Id="rId13" Type="http://schemas.openxmlformats.org/officeDocument/2006/relationships/image" Target="media/image4.jpeg"/><Relationship Id="rId3"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hyperlink" Target="https://www.neobilten.com/wp-content/uploads/2024/07/predlozena-unapredjenja-SEF-slika-4.jpg"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neobilten.com/wp-content/uploads/2024/07/predlozena-unapredjenja-SEF-slika-1.jpg" TargetMode="Externa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5.jpeg"/><Relationship Id="rId10" Type="http://schemas.openxmlformats.org/officeDocument/2006/relationships/hyperlink" Target="https://www.neobilten.com/wp-content/uploads/2024/07/predlozena-unapredjenja-SEF-slika-3.jpg"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neobilten.com/wp-content/uploads/2024/07/predlozena-unapredjenja-SEF-slika-5.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24</Pages>
  <Words>4858</Words>
  <Characters>27691</Characters>
  <Application>Microsoft Office Word</Application>
  <DocSecurity>0</DocSecurity>
  <Lines>230</Lines>
  <Paragraphs>64</Paragraphs>
  <ScaleCrop>false</ScaleCrop>
  <Company/>
  <LinksUpToDate>false</LinksUpToDate>
  <CharactersWithSpaces>32485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dc:creator>
  <cp:lastModifiedBy>Marija</cp:lastModifiedBy>
  <cp:revision>1</cp:revision>
  <dcterms:created xsi:type="dcterms:W3CDTF">2024-08-09T05:54:00Z</dcterms:created>
  <dcterms:modified xsi:type="dcterms:W3CDTF">2024-08-09T05:55:00Z</dcterms:modified>
</cp:coreProperties>
</file>